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shd w:val="clear" w:color="auto" w:fill="FFFFFF"/>
          <w:lang w:val="en-US" w:eastAsia="zh-CN"/>
        </w:rPr>
        <w:t>综合评分细则</w:t>
      </w:r>
    </w:p>
    <w:bookmarkEnd w:id="0"/>
    <w:tbl>
      <w:tblPr>
        <w:tblStyle w:val="5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605"/>
        <w:gridCol w:w="3495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分项指标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计分方法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净资产总额</w:t>
            </w:r>
          </w:p>
        </w:tc>
        <w:tc>
          <w:tcPr>
            <w:tcW w:w="3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单项指标得分＝（本机构单项指标数值/所有有效参评银行在本指标中的最大值）×9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资本充足率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资产利润率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流动性比例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不良贷款率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（所有有效参评银行在本指标中的最小值/本机构单项指标数值）×9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服务水平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客户待遇水平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根据参评银行提供服务方案给出的客户待遇水平进行打分，满足我院对安全、优质、准确、高效、便捷的服务要求。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被评为优的，得4分。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被评为良的，得2分。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被评为中的，得1分。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被评为差的，不得分。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服务团队及工作人员配置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对参评银行提出的账户开立及日常管理方案（2分）、人员配备及分工（2分）、提供服务时效性和便捷性（2分）进行打分。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银行风险防控措施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对参评银行的内部控制、风险防控体系、操作规范和保密措施进行打分。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被评为优的，得4分。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被评为良的，得2分。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被评为中的，得1分。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被评为差的，不得分。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日常跟踪服务水平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对参评银行电子化服务水平（1分)、定期存款到期提醒服务(1分）、票据送取服务(1分）、对账服务（1分）等具体服务项进行打分。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服务费用减免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根据各银行提供的所有服务费用减免情况进行打分，全免得2分；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利率水平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承诺一年定期存款利率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（本银行央行基准利率上浮率/所有有效参评银行中最高央行基准利率上浮率）×20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0-20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承诺半年定期存款利率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（本银行央行基准利率上浮率/所有有效参评银行中最高央行基准利率上浮率）×15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E206D"/>
    <w:rsid w:val="2DB314D4"/>
    <w:rsid w:val="3B195254"/>
    <w:rsid w:val="561D4811"/>
    <w:rsid w:val="7B48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1"/>
    <w:qFormat/>
    <w:uiPriority w:val="0"/>
    <w:pPr>
      <w:ind w:firstLine="560" w:firstLineChars="200"/>
    </w:pPr>
    <w:rPr>
      <w:rFonts w:ascii="仿宋_GB2312" w:hAnsi="Calibri" w:eastAsia="仿宋_GB2312" w:cs="Times New Roman"/>
      <w:sz w:val="28"/>
      <w:szCs w:val="24"/>
    </w:rPr>
  </w:style>
  <w:style w:type="paragraph" w:styleId="4">
    <w:name w:val="Body Text First Indent 2"/>
    <w:basedOn w:val="3"/>
    <w:next w:val="2"/>
    <w:qFormat/>
    <w:uiPriority w:val="0"/>
    <w:pPr>
      <w:ind w:firstLine="42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2021-05-25T04:16:00Z</dcterms:created>
  <dc:creator>yux</dc:creator>
  <cp:lastModifiedBy>user</cp:lastModifiedBy>
  <dcterms:modified xsi:type="dcterms:W3CDTF">2025-07-04T09:53:28Z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CE78F5784AC14960B5BE06D921475E11</vt:lpwstr>
  </property>
</Properties>
</file>