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附件1：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华文中宋"/>
          <w:color w:val="000000"/>
          <w:kern w:val="0"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bidi="ar"/>
        </w:rPr>
        <w:t>廉政承诺书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bidi="ar"/>
        </w:rPr>
        <w:t>(参考格式)</w:t>
      </w:r>
    </w:p>
    <w:p>
      <w:pPr>
        <w:widowControl/>
        <w:spacing w:line="56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中国中医科学院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 w:bidi="ar"/>
        </w:rPr>
        <w:t>中药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研究所：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我行响应中国中医科学院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 w:bidi="ar"/>
        </w:rPr>
        <w:t>中药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研究所“定期存款银行竞争性选择项目”要求并参加评选。在本次评选过程中及入围后，我行将严格遵守国家法律法规要求并郑重承诺：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一、不向中国中医科学院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 w:bidi="ar"/>
        </w:rPr>
        <w:t>中药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研究所相关负责人员进行任何利益输送。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二、不将资金存放与中国中医科学院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 w:bidi="ar"/>
        </w:rPr>
        <w:t>中药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研究所相关负责人员在我行的亲属的业绩、收入挂钩。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如违反上述承诺，中国中医科学院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 w:bidi="ar"/>
        </w:rPr>
        <w:t>中药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研究所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有权取消我行为贵院提供定期存款资金存放服务的资格，收回已在我行存放的定期存款，并有权将所发现的问题及核实的情况上报财政部。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因违反上述承诺引起的相应损失由我行承担。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2937" w:firstLineChars="918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参评银行全称（盖章）_____________ </w:t>
      </w:r>
    </w:p>
    <w:p>
      <w:pPr>
        <w:widowControl/>
        <w:spacing w:line="560" w:lineRule="exact"/>
        <w:ind w:firstLine="4857" w:firstLineChars="1518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年   月   日 </w:t>
      </w:r>
    </w:p>
    <w:p>
      <w:pPr>
        <w:ind w:firstLine="2203" w:firstLineChars="918"/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WUzNGVmYmYwYjM5NDA5N2U5Y2Q5NGUyNGNlMzkifQ=="/>
  </w:docVars>
  <w:rsids>
    <w:rsidRoot w:val="00090B7B"/>
    <w:rsid w:val="00090B7B"/>
    <w:rsid w:val="001C463D"/>
    <w:rsid w:val="0BF10149"/>
    <w:rsid w:val="2FE57C07"/>
    <w:rsid w:val="4CC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2021-05-26T06:52:00Z</dcterms:created>
  <dc:creator>yux</dc:creator>
  <cp:lastModifiedBy>卓乐</cp:lastModifiedBy>
  <dcterms:modified xsi:type="dcterms:W3CDTF">2024-04-25T01:06:08Z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141298C635C2432EAA3B3E0F7FB5FA26_12</vt:lpwstr>
  </property>
</Properties>
</file>