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59" w:tblpY="330"/>
        <w:tblOverlap w:val="never"/>
        <w:tblW w:w="144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440"/>
        <w:gridCol w:w="2468"/>
        <w:gridCol w:w="1142"/>
        <w:gridCol w:w="1190"/>
        <w:gridCol w:w="2900"/>
        <w:gridCol w:w="3273"/>
        <w:gridCol w:w="13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中国中医科学院2023年第二批中药学科博士研究生招生专业目录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院所名称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导师或导师团队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复试科目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中药研究所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中药机理与靶标研究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①英语②中药学③分子生物学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医学实验中心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杨洪军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中药复杂作用解析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①英语②中药学③分析化学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医学实验中心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娜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基于质谱技术的中医药代谢组学研究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①英语②中药学③分析化学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中药资源中心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道地药材品质保障与资源持续利用全国重点实验室导师团队（黄璐琦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郭兰萍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唐志书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杨文明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刘杰等）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中药资源与分子生药学研究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中药资源与品质保障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①英语②中药学③药用植物学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分子生药学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中药资源中心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中药资源调查与区划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①英语②中药学③药用植物学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分子生药学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中药资源中心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中医药分子医学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①英语②中药学③中药化学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分子生药学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mQwN2JmOTQzOWRlMjk2OTljYmY2ZGIzNWNlOTQifQ=="/>
  </w:docVars>
  <w:rsids>
    <w:rsidRoot w:val="02066737"/>
    <w:rsid w:val="02066737"/>
    <w:rsid w:val="091B0326"/>
    <w:rsid w:val="12DA5F18"/>
    <w:rsid w:val="21524F16"/>
    <w:rsid w:val="338E5F3D"/>
    <w:rsid w:val="37856536"/>
    <w:rsid w:val="51D65AB4"/>
    <w:rsid w:val="547A4CBC"/>
    <w:rsid w:val="5B756213"/>
    <w:rsid w:val="60FD7C27"/>
    <w:rsid w:val="682D0182"/>
    <w:rsid w:val="74C61C30"/>
    <w:rsid w:val="77C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394</Characters>
  <Lines>0</Lines>
  <Paragraphs>0</Paragraphs>
  <TotalTime>2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2023-06-02T06:01:00Z</dcterms:created>
  <dc:creator>WPS_1601457615</dc:creator>
  <cp:lastModifiedBy>国华</cp:lastModifiedBy>
  <cp:lastPrinted>2023-06-16T00:59:00Z</cp:lastPrinted>
  <dcterms:modified xsi:type="dcterms:W3CDTF">2023-06-20T06:36:31Z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B6AF14DBFE104A9296A00EC0229ABFDD_12</vt:lpwstr>
  </property>
</Properties>
</file>