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7E" w:rsidRPr="00C47DEF" w:rsidRDefault="00AB1D4A" w:rsidP="00AB1D4A">
      <w:pPr>
        <w:jc w:val="center"/>
        <w:rPr>
          <w:sz w:val="40"/>
          <w:szCs w:val="40"/>
        </w:rPr>
      </w:pPr>
      <w:r w:rsidRPr="00C47DEF">
        <w:rPr>
          <w:rFonts w:hint="eastAsia"/>
          <w:sz w:val="40"/>
          <w:szCs w:val="40"/>
        </w:rPr>
        <w:t>导师简介</w:t>
      </w:r>
    </w:p>
    <w:tbl>
      <w:tblPr>
        <w:tblStyle w:val="a3"/>
        <w:tblW w:w="8840" w:type="dxa"/>
        <w:jc w:val="center"/>
        <w:tblLayout w:type="fixed"/>
        <w:tblLook w:val="04A0"/>
      </w:tblPr>
      <w:tblGrid>
        <w:gridCol w:w="1955"/>
        <w:gridCol w:w="1721"/>
        <w:gridCol w:w="1721"/>
        <w:gridCol w:w="1721"/>
        <w:gridCol w:w="1722"/>
      </w:tblGrid>
      <w:tr w:rsidR="00130ED9" w:rsidRPr="00A926D4" w:rsidTr="00C47DEF">
        <w:trPr>
          <w:jc w:val="center"/>
        </w:trPr>
        <w:tc>
          <w:tcPr>
            <w:tcW w:w="2024" w:type="dxa"/>
            <w:vMerge w:val="restart"/>
          </w:tcPr>
          <w:p w:rsidR="00E25576" w:rsidRPr="00A926D4" w:rsidRDefault="00C47DEF" w:rsidP="0018496D">
            <w:pPr>
              <w:spacing w:line="360" w:lineRule="auto"/>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660288" behindDoc="0" locked="0" layoutInCell="1" allowOverlap="1">
                  <wp:simplePos x="0" y="0"/>
                  <wp:positionH relativeFrom="column">
                    <wp:posOffset>-41910</wp:posOffset>
                  </wp:positionH>
                  <wp:positionV relativeFrom="paragraph">
                    <wp:posOffset>52705</wp:posOffset>
                  </wp:positionV>
                  <wp:extent cx="1171575" cy="1619250"/>
                  <wp:effectExtent l="19050" t="0" r="9525" b="0"/>
                  <wp:wrapNone/>
                  <wp:docPr id="2" name="图片 2" descr="肖永庆２"/>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肖永庆２"/>
                          <pic:cNvPicPr>
                            <a:picLocks noChangeAspect="1" noChangeArrowheads="1"/>
                          </pic:cNvPicPr>
                        </pic:nvPicPr>
                        <pic:blipFill>
                          <a:blip r:embed="rId7" cstate="print"/>
                          <a:srcRect/>
                          <a:stretch>
                            <a:fillRect/>
                          </a:stretch>
                        </pic:blipFill>
                        <pic:spPr bwMode="auto">
                          <a:xfrm>
                            <a:off x="0" y="0"/>
                            <a:ext cx="1171575" cy="1619250"/>
                          </a:xfrm>
                          <a:prstGeom prst="rect">
                            <a:avLst/>
                          </a:prstGeom>
                          <a:noFill/>
                          <a:ln w="9525">
                            <a:noFill/>
                            <a:miter lim="800000"/>
                            <a:headEnd/>
                            <a:tailEnd/>
                          </a:ln>
                        </pic:spPr>
                      </pic:pic>
                    </a:graphicData>
                  </a:graphic>
                </wp:anchor>
              </w:drawing>
            </w:r>
          </w:p>
          <w:p w:rsidR="00130ED9" w:rsidRPr="00A926D4" w:rsidRDefault="00130ED9" w:rsidP="0018496D">
            <w:pPr>
              <w:spacing w:line="360" w:lineRule="auto"/>
              <w:jc w:val="center"/>
              <w:rPr>
                <w:rFonts w:asciiTheme="majorEastAsia" w:eastAsiaTheme="majorEastAsia" w:hAnsiTheme="majorEastAsia"/>
                <w:sz w:val="24"/>
                <w:szCs w:val="24"/>
              </w:rPr>
            </w:pPr>
          </w:p>
        </w:tc>
        <w:tc>
          <w:tcPr>
            <w:tcW w:w="1782" w:type="dxa"/>
            <w:vAlign w:val="center"/>
          </w:tcPr>
          <w:p w:rsidR="00130ED9" w:rsidRPr="00C47DEF" w:rsidRDefault="00130ED9"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姓名</w:t>
            </w:r>
          </w:p>
        </w:tc>
        <w:tc>
          <w:tcPr>
            <w:tcW w:w="1782" w:type="dxa"/>
            <w:vAlign w:val="center"/>
          </w:tcPr>
          <w:p w:rsidR="00130ED9" w:rsidRPr="00C47DEF" w:rsidRDefault="00DB4D54" w:rsidP="00C47DEF">
            <w:pPr>
              <w:rPr>
                <w:rFonts w:ascii="Times New Roman" w:eastAsiaTheme="majorEastAsia" w:hAnsi="Times New Roman" w:cs="Times New Roman"/>
                <w:sz w:val="24"/>
                <w:szCs w:val="24"/>
              </w:rPr>
            </w:pPr>
            <w:r w:rsidRPr="00C47DEF">
              <w:rPr>
                <w:rFonts w:ascii="Times New Roman" w:eastAsiaTheme="majorEastAsia" w:hAnsiTheme="majorEastAsia" w:cs="Times New Roman"/>
                <w:sz w:val="24"/>
                <w:szCs w:val="24"/>
              </w:rPr>
              <w:t>肖永庆</w:t>
            </w:r>
          </w:p>
        </w:tc>
        <w:tc>
          <w:tcPr>
            <w:tcW w:w="1782" w:type="dxa"/>
            <w:vAlign w:val="center"/>
          </w:tcPr>
          <w:p w:rsidR="00130ED9" w:rsidRPr="00C47DEF" w:rsidRDefault="00FB57A1"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性别</w:t>
            </w:r>
          </w:p>
        </w:tc>
        <w:tc>
          <w:tcPr>
            <w:tcW w:w="1783" w:type="dxa"/>
            <w:vAlign w:val="center"/>
          </w:tcPr>
          <w:p w:rsidR="00130ED9" w:rsidRPr="00C47DEF" w:rsidRDefault="00DB4D54" w:rsidP="00C47DEF">
            <w:pPr>
              <w:rPr>
                <w:rFonts w:ascii="Times New Roman" w:eastAsiaTheme="majorEastAsia" w:hAnsi="Times New Roman" w:cs="Times New Roman"/>
                <w:sz w:val="24"/>
                <w:szCs w:val="24"/>
              </w:rPr>
            </w:pPr>
            <w:r w:rsidRPr="00C47DEF">
              <w:rPr>
                <w:rFonts w:ascii="Times New Roman" w:eastAsiaTheme="majorEastAsia" w:hAnsiTheme="majorEastAsia" w:cs="Times New Roman"/>
                <w:sz w:val="24"/>
                <w:szCs w:val="24"/>
              </w:rPr>
              <w:t>男</w:t>
            </w:r>
          </w:p>
        </w:tc>
      </w:tr>
      <w:tr w:rsidR="00735F50" w:rsidRPr="00A926D4" w:rsidTr="00C47DEF">
        <w:trPr>
          <w:jc w:val="center"/>
        </w:trPr>
        <w:tc>
          <w:tcPr>
            <w:tcW w:w="2024" w:type="dxa"/>
            <w:vMerge/>
          </w:tcPr>
          <w:p w:rsidR="00735F50" w:rsidRPr="00A926D4" w:rsidRDefault="00735F50" w:rsidP="0018496D">
            <w:pPr>
              <w:spacing w:line="360" w:lineRule="auto"/>
              <w:rPr>
                <w:rFonts w:asciiTheme="majorEastAsia" w:eastAsiaTheme="majorEastAsia" w:hAnsiTheme="majorEastAsia"/>
                <w:sz w:val="24"/>
                <w:szCs w:val="24"/>
              </w:rPr>
            </w:pPr>
          </w:p>
        </w:tc>
        <w:tc>
          <w:tcPr>
            <w:tcW w:w="1782" w:type="dxa"/>
            <w:vAlign w:val="center"/>
          </w:tcPr>
          <w:p w:rsidR="00735F50" w:rsidRPr="00C47DEF" w:rsidRDefault="00F13DE3"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学历</w:t>
            </w:r>
          </w:p>
        </w:tc>
        <w:tc>
          <w:tcPr>
            <w:tcW w:w="1782" w:type="dxa"/>
            <w:vAlign w:val="center"/>
          </w:tcPr>
          <w:p w:rsidR="00735F50" w:rsidRPr="00C47DEF" w:rsidRDefault="00DB4D54" w:rsidP="00C47DEF">
            <w:pPr>
              <w:rPr>
                <w:rFonts w:ascii="Times New Roman" w:eastAsiaTheme="majorEastAsia" w:hAnsi="Times New Roman" w:cs="Times New Roman"/>
                <w:sz w:val="24"/>
                <w:szCs w:val="24"/>
              </w:rPr>
            </w:pPr>
            <w:r w:rsidRPr="00C47DEF">
              <w:rPr>
                <w:rFonts w:ascii="Times New Roman" w:eastAsiaTheme="majorEastAsia" w:hAnsiTheme="majorEastAsia" w:cs="Times New Roman"/>
                <w:sz w:val="24"/>
                <w:szCs w:val="24"/>
              </w:rPr>
              <w:t>研究生</w:t>
            </w:r>
          </w:p>
        </w:tc>
        <w:tc>
          <w:tcPr>
            <w:tcW w:w="1782" w:type="dxa"/>
            <w:vAlign w:val="center"/>
          </w:tcPr>
          <w:p w:rsidR="00735F50" w:rsidRPr="00C47DEF" w:rsidRDefault="00F13DE3"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职称</w:t>
            </w:r>
          </w:p>
        </w:tc>
        <w:tc>
          <w:tcPr>
            <w:tcW w:w="1783" w:type="dxa"/>
            <w:vAlign w:val="center"/>
          </w:tcPr>
          <w:p w:rsidR="00735F50" w:rsidRPr="00C47DEF" w:rsidRDefault="00DB4D54" w:rsidP="00C47DEF">
            <w:pPr>
              <w:rPr>
                <w:rFonts w:ascii="Times New Roman" w:eastAsiaTheme="majorEastAsia" w:hAnsi="Times New Roman" w:cs="Times New Roman"/>
                <w:sz w:val="24"/>
                <w:szCs w:val="24"/>
              </w:rPr>
            </w:pPr>
            <w:r w:rsidRPr="00C47DEF">
              <w:rPr>
                <w:rFonts w:ascii="Times New Roman" w:eastAsiaTheme="majorEastAsia" w:hAnsiTheme="majorEastAsia" w:cs="Times New Roman"/>
                <w:sz w:val="24"/>
                <w:szCs w:val="24"/>
              </w:rPr>
              <w:t>研究员</w:t>
            </w:r>
          </w:p>
        </w:tc>
      </w:tr>
      <w:tr w:rsidR="00130ED9" w:rsidRPr="00A926D4" w:rsidTr="00C47DEF">
        <w:trPr>
          <w:jc w:val="center"/>
        </w:trPr>
        <w:tc>
          <w:tcPr>
            <w:tcW w:w="2024" w:type="dxa"/>
            <w:vMerge/>
          </w:tcPr>
          <w:p w:rsidR="00130ED9" w:rsidRPr="00A926D4" w:rsidRDefault="00130ED9" w:rsidP="0018496D">
            <w:pPr>
              <w:spacing w:line="360" w:lineRule="auto"/>
              <w:rPr>
                <w:rFonts w:asciiTheme="majorEastAsia" w:eastAsiaTheme="majorEastAsia" w:hAnsiTheme="majorEastAsia"/>
                <w:sz w:val="24"/>
                <w:szCs w:val="24"/>
              </w:rPr>
            </w:pPr>
          </w:p>
        </w:tc>
        <w:tc>
          <w:tcPr>
            <w:tcW w:w="1782" w:type="dxa"/>
            <w:vAlign w:val="center"/>
          </w:tcPr>
          <w:p w:rsidR="00130ED9" w:rsidRPr="00C47DEF" w:rsidRDefault="00F13DE3"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导师类别</w:t>
            </w:r>
          </w:p>
        </w:tc>
        <w:tc>
          <w:tcPr>
            <w:tcW w:w="1782" w:type="dxa"/>
            <w:vAlign w:val="center"/>
          </w:tcPr>
          <w:p w:rsidR="00130ED9" w:rsidRPr="00C47DEF" w:rsidRDefault="00DB4D54" w:rsidP="00C47DEF">
            <w:pPr>
              <w:rPr>
                <w:rFonts w:ascii="Times New Roman" w:eastAsiaTheme="majorEastAsia" w:hAnsi="Times New Roman" w:cs="Times New Roman"/>
                <w:sz w:val="24"/>
                <w:szCs w:val="24"/>
              </w:rPr>
            </w:pPr>
            <w:r w:rsidRPr="00C47DEF">
              <w:rPr>
                <w:rFonts w:ascii="Times New Roman" w:eastAsiaTheme="majorEastAsia" w:hAnsiTheme="majorEastAsia" w:cs="Times New Roman"/>
                <w:sz w:val="24"/>
                <w:szCs w:val="24"/>
              </w:rPr>
              <w:t>博导</w:t>
            </w:r>
          </w:p>
        </w:tc>
        <w:tc>
          <w:tcPr>
            <w:tcW w:w="1782" w:type="dxa"/>
            <w:vAlign w:val="center"/>
          </w:tcPr>
          <w:p w:rsidR="00130ED9" w:rsidRPr="00C47DEF" w:rsidRDefault="008D2385"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所属部门</w:t>
            </w:r>
          </w:p>
        </w:tc>
        <w:tc>
          <w:tcPr>
            <w:tcW w:w="1783" w:type="dxa"/>
            <w:vAlign w:val="center"/>
          </w:tcPr>
          <w:p w:rsidR="00130ED9" w:rsidRPr="00C47DEF" w:rsidRDefault="00DB4D54" w:rsidP="00C47DEF">
            <w:pPr>
              <w:rPr>
                <w:rFonts w:ascii="Times New Roman" w:eastAsiaTheme="majorEastAsia" w:hAnsi="Times New Roman" w:cs="Times New Roman"/>
                <w:sz w:val="24"/>
                <w:szCs w:val="24"/>
              </w:rPr>
            </w:pPr>
            <w:r w:rsidRPr="00C47DEF">
              <w:rPr>
                <w:rFonts w:ascii="Times New Roman" w:eastAsiaTheme="majorEastAsia" w:hAnsiTheme="majorEastAsia" w:cs="Times New Roman"/>
                <w:sz w:val="24"/>
                <w:szCs w:val="24"/>
              </w:rPr>
              <w:t>中药研究所</w:t>
            </w:r>
          </w:p>
        </w:tc>
      </w:tr>
      <w:tr w:rsidR="00130ED9" w:rsidRPr="00A926D4" w:rsidTr="00C47DEF">
        <w:trPr>
          <w:trHeight w:val="875"/>
          <w:jc w:val="center"/>
        </w:trPr>
        <w:tc>
          <w:tcPr>
            <w:tcW w:w="2024" w:type="dxa"/>
            <w:vMerge/>
          </w:tcPr>
          <w:p w:rsidR="00130ED9" w:rsidRPr="00A926D4" w:rsidRDefault="00130ED9" w:rsidP="0018496D">
            <w:pPr>
              <w:spacing w:line="360" w:lineRule="auto"/>
              <w:rPr>
                <w:rFonts w:asciiTheme="majorEastAsia" w:eastAsiaTheme="majorEastAsia" w:hAnsiTheme="majorEastAsia"/>
                <w:sz w:val="24"/>
                <w:szCs w:val="24"/>
              </w:rPr>
            </w:pPr>
          </w:p>
        </w:tc>
        <w:tc>
          <w:tcPr>
            <w:tcW w:w="1782" w:type="dxa"/>
            <w:vAlign w:val="center"/>
          </w:tcPr>
          <w:p w:rsidR="00130ED9" w:rsidRPr="00C47DEF" w:rsidRDefault="00C83228"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研究方向</w:t>
            </w:r>
          </w:p>
        </w:tc>
        <w:tc>
          <w:tcPr>
            <w:tcW w:w="1782" w:type="dxa"/>
            <w:vAlign w:val="center"/>
          </w:tcPr>
          <w:p w:rsidR="00130ED9" w:rsidRPr="00C47DEF" w:rsidRDefault="00DB4D54" w:rsidP="00C47DEF">
            <w:pPr>
              <w:rPr>
                <w:rFonts w:ascii="Times New Roman" w:eastAsiaTheme="majorEastAsia" w:hAnsi="Times New Roman" w:cs="Times New Roman"/>
                <w:sz w:val="24"/>
                <w:szCs w:val="24"/>
              </w:rPr>
            </w:pPr>
            <w:r w:rsidRPr="00C47DEF">
              <w:rPr>
                <w:rFonts w:ascii="Times New Roman" w:eastAsiaTheme="majorEastAsia" w:hAnsiTheme="majorEastAsia" w:cs="Times New Roman"/>
                <w:sz w:val="24"/>
                <w:szCs w:val="24"/>
              </w:rPr>
              <w:t>中药炮制</w:t>
            </w:r>
          </w:p>
        </w:tc>
        <w:tc>
          <w:tcPr>
            <w:tcW w:w="1782" w:type="dxa"/>
            <w:vAlign w:val="center"/>
          </w:tcPr>
          <w:p w:rsidR="00130ED9" w:rsidRPr="00C47DEF" w:rsidRDefault="00EE5B21" w:rsidP="00C47DEF">
            <w:pPr>
              <w:rPr>
                <w:rFonts w:ascii="Times New Roman" w:eastAsiaTheme="majorEastAsia" w:hAnsi="Times New Roman" w:cs="Times New Roman"/>
                <w:sz w:val="28"/>
                <w:szCs w:val="28"/>
              </w:rPr>
            </w:pPr>
            <w:r w:rsidRPr="00C47DEF">
              <w:rPr>
                <w:rFonts w:ascii="Times New Roman" w:eastAsiaTheme="majorEastAsia" w:hAnsiTheme="majorEastAsia" w:cs="Times New Roman"/>
                <w:sz w:val="28"/>
                <w:szCs w:val="28"/>
              </w:rPr>
              <w:t>电子邮箱</w:t>
            </w:r>
          </w:p>
        </w:tc>
        <w:tc>
          <w:tcPr>
            <w:tcW w:w="1783" w:type="dxa"/>
            <w:vAlign w:val="center"/>
          </w:tcPr>
          <w:p w:rsidR="00130ED9" w:rsidRPr="00C47DEF" w:rsidRDefault="00DB4D54" w:rsidP="00C47DEF">
            <w:pPr>
              <w:rPr>
                <w:rFonts w:asciiTheme="minorEastAsia" w:hAnsiTheme="minorEastAsia" w:cs="Times New Roman"/>
                <w:sz w:val="24"/>
                <w:szCs w:val="24"/>
              </w:rPr>
            </w:pPr>
            <w:r w:rsidRPr="00C47DEF">
              <w:rPr>
                <w:rFonts w:asciiTheme="minorEastAsia" w:hAnsiTheme="minorEastAsia" w:cs="Times New Roman"/>
                <w:sz w:val="24"/>
                <w:szCs w:val="24"/>
              </w:rPr>
              <w:t>x.heqi@163.com</w:t>
            </w:r>
          </w:p>
        </w:tc>
      </w:tr>
      <w:tr w:rsidR="00D92ADD" w:rsidRPr="00A926D4" w:rsidTr="00C47DEF">
        <w:trPr>
          <w:jc w:val="center"/>
        </w:trPr>
        <w:tc>
          <w:tcPr>
            <w:tcW w:w="2024" w:type="dxa"/>
          </w:tcPr>
          <w:p w:rsidR="00D92ADD" w:rsidRPr="00BE2404" w:rsidRDefault="00B878F3" w:rsidP="0018496D">
            <w:pPr>
              <w:spacing w:line="360" w:lineRule="auto"/>
              <w:jc w:val="center"/>
              <w:rPr>
                <w:rFonts w:asciiTheme="majorEastAsia" w:eastAsiaTheme="majorEastAsia" w:hAnsiTheme="majorEastAsia"/>
                <w:sz w:val="28"/>
                <w:szCs w:val="28"/>
              </w:rPr>
            </w:pPr>
            <w:r w:rsidRPr="00BE2404">
              <w:rPr>
                <w:rFonts w:asciiTheme="majorEastAsia" w:eastAsiaTheme="majorEastAsia" w:hAnsiTheme="majorEastAsia" w:hint="eastAsia"/>
                <w:sz w:val="28"/>
                <w:szCs w:val="28"/>
              </w:rPr>
              <w:t>导师简介</w:t>
            </w:r>
          </w:p>
        </w:tc>
        <w:tc>
          <w:tcPr>
            <w:tcW w:w="7129" w:type="dxa"/>
            <w:gridSpan w:val="4"/>
          </w:tcPr>
          <w:p w:rsidR="00BF22A2" w:rsidRPr="00C47DEF" w:rsidRDefault="00BF22A2" w:rsidP="00C47DEF">
            <w:pPr>
              <w:snapToGrid w:val="0"/>
              <w:spacing w:line="360" w:lineRule="auto"/>
              <w:rPr>
                <w:rFonts w:ascii="宋体" w:hAnsi="宋体" w:cs="仿宋_GB2312"/>
                <w:sz w:val="24"/>
                <w:szCs w:val="24"/>
              </w:rPr>
            </w:pPr>
            <w:r w:rsidRPr="00C47DEF">
              <w:rPr>
                <w:rFonts w:ascii="宋体" w:hAnsi="宋体" w:cs="仿宋_GB2312" w:hint="eastAsia"/>
                <w:sz w:val="24"/>
                <w:szCs w:val="24"/>
              </w:rPr>
              <w:t>科研简况及代表性成果：</w:t>
            </w:r>
          </w:p>
          <w:p w:rsidR="00BF22A2" w:rsidRPr="00C47DEF" w:rsidRDefault="00BF22A2" w:rsidP="00C47DEF">
            <w:pPr>
              <w:pStyle w:val="blackbig"/>
              <w:snapToGrid w:val="0"/>
              <w:spacing w:before="0" w:beforeAutospacing="0" w:after="0" w:afterAutospacing="0" w:line="360" w:lineRule="auto"/>
              <w:ind w:firstLineChars="200" w:firstLine="480"/>
              <w:jc w:val="both"/>
            </w:pPr>
            <w:r w:rsidRPr="00C47DEF">
              <w:rPr>
                <w:rFonts w:hint="eastAsia"/>
              </w:rPr>
              <w:t>1983年于中国中医科学院硕士毕业，后获日本大阪药科大学药学博士学位。中国中医科学院首席研究员、正高二级、博士生导师；我国</w:t>
            </w:r>
            <w:r w:rsidR="00674960" w:rsidRPr="00C47DEF">
              <w:rPr>
                <w:rFonts w:hint="eastAsia"/>
              </w:rPr>
              <w:t>著名的中药化学和炮制学专家</w:t>
            </w:r>
            <w:r w:rsidRPr="00C47DEF">
              <w:rPr>
                <w:rFonts w:hint="eastAsia"/>
              </w:rPr>
              <w:t>，国家中医药管理局炮制重点学科带头人。</w:t>
            </w:r>
          </w:p>
          <w:p w:rsidR="00BF22A2" w:rsidRPr="00C47DEF" w:rsidRDefault="00BF22A2" w:rsidP="00C47DEF">
            <w:pPr>
              <w:pStyle w:val="blackbig"/>
              <w:snapToGrid w:val="0"/>
              <w:spacing w:before="0" w:beforeAutospacing="0" w:after="0" w:afterAutospacing="0" w:line="360" w:lineRule="auto"/>
              <w:ind w:firstLineChars="200" w:firstLine="480"/>
              <w:jc w:val="both"/>
            </w:pPr>
            <w:r w:rsidRPr="00C47DEF">
              <w:rPr>
                <w:rFonts w:hint="eastAsia"/>
              </w:rPr>
              <w:t>主要从事中药有效成分及其配伍研究、中药质量标准研究和中药炮制研究。先后主持国家攻关项目和国家自然科学基金项目20余项。主要成就为：（1）探索建立了中药单（复）方成分配伍研究的新思路。认为中药化学成分组合是其发挥药效作用的物质基础，其主成分起主要作用，主成分之间的最优配比是中药发挥最佳药效的关键；（2）建立了将饮片生产企业的生产经验数据化来进行饮片炮制工艺规范化研究的新模式，利用该模式对百余种饮片进行了炮制工艺规范化研究。（3）以中药炮制前后“科学内涵变化规律”为纽带，探索建立了中药炮制原理研究新思路、新方法、新模式。（4）建立了基于炮制原理的具有饮片个性特色的质量评价新模式。（5）创新性地提出“配伍炮制”新理念。</w:t>
            </w:r>
            <w:r w:rsidR="00DA0891" w:rsidRPr="00C47DEF">
              <w:rPr>
                <w:rFonts w:hint="eastAsia"/>
              </w:rPr>
              <w:t xml:space="preserve">    对中药炮制学继承和发展中存在的问题有着深入的理解和分析，并通过多年的科研实践，构建了基于中药饮片生产经验传承的中药饮片炮制工艺规范化研究模式；同时，提出了通过开展中药标准饮片研究，进一步完善中药标准物质体系，稳定中药饮片质量及临床疗效；以大宗中药材产地为核心，构建中药饮片区域性、专业化和智能化生产模式等设想，其创新性的学术思想，前瞻性</w:t>
            </w:r>
            <w:r w:rsidR="00DA0891" w:rsidRPr="00C47DEF">
              <w:rPr>
                <w:rFonts w:hint="eastAsia"/>
              </w:rPr>
              <w:lastRenderedPageBreak/>
              <w:t>的科研模式及产业发展策略，为中药炮制学科的发展以及中药饮片行业在新环境下重新布局，指明了方向并提供了切实可行的解决方案。</w:t>
            </w:r>
          </w:p>
          <w:p w:rsidR="00452FA4" w:rsidRPr="00C47DEF" w:rsidRDefault="00BF22A2" w:rsidP="00C47DEF">
            <w:pPr>
              <w:spacing w:line="360" w:lineRule="auto"/>
              <w:ind w:firstLineChars="200" w:firstLine="480"/>
              <w:rPr>
                <w:rFonts w:ascii="宋体" w:hAnsi="宋体"/>
                <w:sz w:val="24"/>
                <w:szCs w:val="24"/>
              </w:rPr>
            </w:pPr>
            <w:r w:rsidRPr="00C47DEF">
              <w:rPr>
                <w:rFonts w:hint="eastAsia"/>
                <w:sz w:val="24"/>
                <w:szCs w:val="24"/>
              </w:rPr>
              <w:t>获中华中医药学会科学技术一等奖、二等奖各</w:t>
            </w:r>
            <w:r w:rsidR="00295DAD" w:rsidRPr="00C47DEF">
              <w:rPr>
                <w:rFonts w:hint="eastAsia"/>
                <w:sz w:val="24"/>
                <w:szCs w:val="24"/>
              </w:rPr>
              <w:t>2</w:t>
            </w:r>
            <w:r w:rsidRPr="00C47DEF">
              <w:rPr>
                <w:rFonts w:hint="eastAsia"/>
                <w:sz w:val="24"/>
                <w:szCs w:val="24"/>
              </w:rPr>
              <w:t>项，中国中医科学院科技进步二等奖</w:t>
            </w:r>
            <w:r w:rsidR="00295DAD" w:rsidRPr="00C47DEF">
              <w:rPr>
                <w:rFonts w:hint="eastAsia"/>
                <w:sz w:val="24"/>
                <w:szCs w:val="24"/>
              </w:rPr>
              <w:t>2</w:t>
            </w:r>
            <w:r w:rsidRPr="00C47DEF">
              <w:rPr>
                <w:rFonts w:hint="eastAsia"/>
                <w:sz w:val="24"/>
                <w:szCs w:val="24"/>
              </w:rPr>
              <w:t>项、三等奖２项。</w:t>
            </w:r>
            <w:r w:rsidRPr="00C47DEF">
              <w:rPr>
                <w:rFonts w:ascii="宋体" w:hAnsi="宋体" w:hint="eastAsia"/>
                <w:sz w:val="24"/>
                <w:szCs w:val="24"/>
              </w:rPr>
              <w:t>发表学术论文200余篇其中SCI收录</w:t>
            </w:r>
            <w:r w:rsidR="00295DAD" w:rsidRPr="00C47DEF">
              <w:rPr>
                <w:rFonts w:ascii="宋体" w:hAnsi="宋体" w:hint="eastAsia"/>
                <w:sz w:val="24"/>
                <w:szCs w:val="24"/>
              </w:rPr>
              <w:t>30余</w:t>
            </w:r>
            <w:r w:rsidRPr="00C47DEF">
              <w:rPr>
                <w:rFonts w:ascii="宋体" w:hAnsi="宋体" w:hint="eastAsia"/>
                <w:sz w:val="24"/>
                <w:szCs w:val="24"/>
              </w:rPr>
              <w:t>篇。培养硕士研究生</w:t>
            </w:r>
            <w:r w:rsidR="00295DAD" w:rsidRPr="00C47DEF">
              <w:rPr>
                <w:rFonts w:ascii="宋体" w:hAnsi="宋体" w:hint="eastAsia"/>
                <w:sz w:val="24"/>
                <w:szCs w:val="24"/>
              </w:rPr>
              <w:t>20余</w:t>
            </w:r>
            <w:r w:rsidRPr="00C47DEF">
              <w:rPr>
                <w:rFonts w:ascii="宋体" w:hAnsi="宋体" w:hint="eastAsia"/>
                <w:sz w:val="24"/>
                <w:szCs w:val="24"/>
              </w:rPr>
              <w:t>名，博士研究生3名，博士后1人。</w:t>
            </w:r>
          </w:p>
          <w:p w:rsidR="00452FA4" w:rsidRPr="00A926D4" w:rsidRDefault="00452FA4" w:rsidP="00DA0891">
            <w:pPr>
              <w:rPr>
                <w:sz w:val="24"/>
                <w:szCs w:val="24"/>
              </w:rPr>
            </w:pPr>
          </w:p>
        </w:tc>
      </w:tr>
    </w:tbl>
    <w:p w:rsidR="004B520C" w:rsidRPr="00A926D4" w:rsidRDefault="004B520C" w:rsidP="00295DAD">
      <w:pPr>
        <w:spacing w:line="360" w:lineRule="auto"/>
        <w:rPr>
          <w:rFonts w:asciiTheme="majorEastAsia" w:eastAsiaTheme="majorEastAsia" w:hAnsiTheme="majorEastAsia"/>
          <w:color w:val="000000" w:themeColor="text1"/>
          <w:sz w:val="24"/>
          <w:szCs w:val="24"/>
        </w:rPr>
      </w:pPr>
      <w:bookmarkStart w:id="0" w:name="_GoBack"/>
      <w:bookmarkEnd w:id="0"/>
    </w:p>
    <w:sectPr w:rsidR="004B520C" w:rsidRPr="00A926D4" w:rsidSect="00D12B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DF1" w:rsidRDefault="00775DF1" w:rsidP="00DC687E">
      <w:r>
        <w:separator/>
      </w:r>
    </w:p>
  </w:endnote>
  <w:endnote w:type="continuationSeparator" w:id="0">
    <w:p w:rsidR="00775DF1" w:rsidRDefault="00775DF1" w:rsidP="00DC6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DF1" w:rsidRDefault="00775DF1" w:rsidP="00DC687E">
      <w:r>
        <w:separator/>
      </w:r>
    </w:p>
  </w:footnote>
  <w:footnote w:type="continuationSeparator" w:id="0">
    <w:p w:rsidR="00775DF1" w:rsidRDefault="00775DF1" w:rsidP="00DC6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0D3"/>
    <w:multiLevelType w:val="hybridMultilevel"/>
    <w:tmpl w:val="67025344"/>
    <w:lvl w:ilvl="0" w:tplc="F3DCE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E75"/>
    <w:rsid w:val="0006456E"/>
    <w:rsid w:val="00095DAF"/>
    <w:rsid w:val="0011368E"/>
    <w:rsid w:val="00120500"/>
    <w:rsid w:val="00120FE2"/>
    <w:rsid w:val="00130ED9"/>
    <w:rsid w:val="001568B7"/>
    <w:rsid w:val="0018496D"/>
    <w:rsid w:val="001F2CEA"/>
    <w:rsid w:val="00211E75"/>
    <w:rsid w:val="00295DAD"/>
    <w:rsid w:val="002D1021"/>
    <w:rsid w:val="003D30B0"/>
    <w:rsid w:val="0044647D"/>
    <w:rsid w:val="00452FA4"/>
    <w:rsid w:val="00496918"/>
    <w:rsid w:val="004A04E0"/>
    <w:rsid w:val="004B520C"/>
    <w:rsid w:val="005007F2"/>
    <w:rsid w:val="00524644"/>
    <w:rsid w:val="00531A00"/>
    <w:rsid w:val="0054104C"/>
    <w:rsid w:val="00580B6A"/>
    <w:rsid w:val="005B2037"/>
    <w:rsid w:val="00604A9B"/>
    <w:rsid w:val="006050D3"/>
    <w:rsid w:val="006265B2"/>
    <w:rsid w:val="006269CF"/>
    <w:rsid w:val="00640848"/>
    <w:rsid w:val="00656092"/>
    <w:rsid w:val="006579BF"/>
    <w:rsid w:val="00674960"/>
    <w:rsid w:val="006D0FB5"/>
    <w:rsid w:val="00735F50"/>
    <w:rsid w:val="00775DF1"/>
    <w:rsid w:val="00786CC8"/>
    <w:rsid w:val="008272F6"/>
    <w:rsid w:val="0082792D"/>
    <w:rsid w:val="008B655C"/>
    <w:rsid w:val="008B7F66"/>
    <w:rsid w:val="008D2385"/>
    <w:rsid w:val="008F34BD"/>
    <w:rsid w:val="00956636"/>
    <w:rsid w:val="009A0E71"/>
    <w:rsid w:val="00A21018"/>
    <w:rsid w:val="00A30C2D"/>
    <w:rsid w:val="00A926D4"/>
    <w:rsid w:val="00AB1D4A"/>
    <w:rsid w:val="00AD3F95"/>
    <w:rsid w:val="00AF3D4D"/>
    <w:rsid w:val="00AF7005"/>
    <w:rsid w:val="00B878F3"/>
    <w:rsid w:val="00BC2CF4"/>
    <w:rsid w:val="00BC3A7A"/>
    <w:rsid w:val="00BE2404"/>
    <w:rsid w:val="00BE3697"/>
    <w:rsid w:val="00BF22A2"/>
    <w:rsid w:val="00C47DEF"/>
    <w:rsid w:val="00C83228"/>
    <w:rsid w:val="00C92BC7"/>
    <w:rsid w:val="00D1295E"/>
    <w:rsid w:val="00D12BC0"/>
    <w:rsid w:val="00D75D29"/>
    <w:rsid w:val="00D84102"/>
    <w:rsid w:val="00D92ADD"/>
    <w:rsid w:val="00DA0891"/>
    <w:rsid w:val="00DA7B0D"/>
    <w:rsid w:val="00DB2FF9"/>
    <w:rsid w:val="00DB4D54"/>
    <w:rsid w:val="00DC687E"/>
    <w:rsid w:val="00E25576"/>
    <w:rsid w:val="00ED54BD"/>
    <w:rsid w:val="00EE5B21"/>
    <w:rsid w:val="00F13563"/>
    <w:rsid w:val="00F13DE3"/>
    <w:rsid w:val="00F274A9"/>
    <w:rsid w:val="00FA365D"/>
    <w:rsid w:val="00FB465F"/>
    <w:rsid w:val="00FB57A1"/>
    <w:rsid w:val="00FD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520C"/>
    <w:pPr>
      <w:ind w:firstLineChars="200" w:firstLine="420"/>
    </w:pPr>
  </w:style>
  <w:style w:type="paragraph" w:styleId="a5">
    <w:name w:val="header"/>
    <w:basedOn w:val="a"/>
    <w:link w:val="Char"/>
    <w:uiPriority w:val="99"/>
    <w:unhideWhenUsed/>
    <w:rsid w:val="00DC68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687E"/>
    <w:rPr>
      <w:sz w:val="18"/>
      <w:szCs w:val="18"/>
    </w:rPr>
  </w:style>
  <w:style w:type="paragraph" w:styleId="a6">
    <w:name w:val="footer"/>
    <w:basedOn w:val="a"/>
    <w:link w:val="Char0"/>
    <w:uiPriority w:val="99"/>
    <w:unhideWhenUsed/>
    <w:rsid w:val="00DC687E"/>
    <w:pPr>
      <w:tabs>
        <w:tab w:val="center" w:pos="4153"/>
        <w:tab w:val="right" w:pos="8306"/>
      </w:tabs>
      <w:snapToGrid w:val="0"/>
      <w:jc w:val="left"/>
    </w:pPr>
    <w:rPr>
      <w:sz w:val="18"/>
      <w:szCs w:val="18"/>
    </w:rPr>
  </w:style>
  <w:style w:type="character" w:customStyle="1" w:styleId="Char0">
    <w:name w:val="页脚 Char"/>
    <w:basedOn w:val="a0"/>
    <w:link w:val="a6"/>
    <w:uiPriority w:val="99"/>
    <w:rsid w:val="00DC687E"/>
    <w:rPr>
      <w:sz w:val="18"/>
      <w:szCs w:val="18"/>
    </w:rPr>
  </w:style>
  <w:style w:type="paragraph" w:customStyle="1" w:styleId="blackbig">
    <w:name w:val="blackbig"/>
    <w:basedOn w:val="a"/>
    <w:rsid w:val="00BF22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雨林木风</cp:lastModifiedBy>
  <cp:revision>21</cp:revision>
  <cp:lastPrinted>2018-10-24T13:09:00Z</cp:lastPrinted>
  <dcterms:created xsi:type="dcterms:W3CDTF">2018-06-07T06:13:00Z</dcterms:created>
  <dcterms:modified xsi:type="dcterms:W3CDTF">2018-11-14T10:03:00Z</dcterms:modified>
</cp:coreProperties>
</file>