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171"/>
        <w:gridCol w:w="1462"/>
        <w:gridCol w:w="1679"/>
        <w:gridCol w:w="1392"/>
        <w:gridCol w:w="2136"/>
      </w:tblGrid>
      <w:tr w:rsidR="008A1CF6" w:rsidRPr="006050D3" w:rsidTr="0059109D">
        <w:trPr>
          <w:trHeight w:val="510"/>
          <w:jc w:val="center"/>
        </w:trPr>
        <w:tc>
          <w:tcPr>
            <w:tcW w:w="2171" w:type="dxa"/>
            <w:vMerge w:val="restart"/>
          </w:tcPr>
          <w:p w:rsidR="00130ED9" w:rsidRPr="006050D3" w:rsidRDefault="00AA471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4642A891" wp14:editId="06499ACC">
                  <wp:extent cx="1241677" cy="1620000"/>
                  <wp:effectExtent l="0" t="0" r="0" b="0"/>
                  <wp:docPr id="1" name="图片 0" descr="2寸工作照-朱晶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寸工作照-朱晶晶.JPG"/>
                          <pic:cNvPicPr/>
                        </pic:nvPicPr>
                        <pic:blipFill rotWithShape="1">
                          <a:blip r:embed="rId8" cstate="print"/>
                          <a:srcRect b="7671"/>
                          <a:stretch/>
                        </pic:blipFill>
                        <pic:spPr bwMode="auto">
                          <a:xfrm>
                            <a:off x="0" y="0"/>
                            <a:ext cx="1241677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30ED9" w:rsidRPr="0059109D" w:rsidRDefault="00130ED9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姓名</w:t>
            </w:r>
          </w:p>
        </w:tc>
        <w:tc>
          <w:tcPr>
            <w:tcW w:w="1708" w:type="dxa"/>
            <w:vAlign w:val="center"/>
          </w:tcPr>
          <w:p w:rsidR="00130ED9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朱晶晶</w:t>
            </w:r>
          </w:p>
        </w:tc>
        <w:tc>
          <w:tcPr>
            <w:tcW w:w="1418" w:type="dxa"/>
            <w:vAlign w:val="center"/>
          </w:tcPr>
          <w:p w:rsidR="00130ED9" w:rsidRPr="0059109D" w:rsidRDefault="00FB57A1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性别</w:t>
            </w:r>
          </w:p>
        </w:tc>
        <w:tc>
          <w:tcPr>
            <w:tcW w:w="2052" w:type="dxa"/>
            <w:vAlign w:val="center"/>
          </w:tcPr>
          <w:p w:rsidR="00130ED9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女</w:t>
            </w:r>
          </w:p>
        </w:tc>
      </w:tr>
      <w:tr w:rsidR="008A1CF6" w:rsidRPr="006050D3" w:rsidTr="0059109D">
        <w:trPr>
          <w:trHeight w:val="510"/>
          <w:jc w:val="center"/>
        </w:trPr>
        <w:tc>
          <w:tcPr>
            <w:tcW w:w="2171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735F50" w:rsidRPr="0059109D" w:rsidRDefault="00F13DE3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学历</w:t>
            </w:r>
          </w:p>
        </w:tc>
        <w:tc>
          <w:tcPr>
            <w:tcW w:w="1708" w:type="dxa"/>
            <w:vAlign w:val="center"/>
          </w:tcPr>
          <w:p w:rsidR="00735F50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博士</w:t>
            </w:r>
          </w:p>
        </w:tc>
        <w:tc>
          <w:tcPr>
            <w:tcW w:w="1418" w:type="dxa"/>
            <w:vAlign w:val="center"/>
          </w:tcPr>
          <w:p w:rsidR="00735F50" w:rsidRPr="0059109D" w:rsidRDefault="00F13DE3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职称</w:t>
            </w:r>
          </w:p>
        </w:tc>
        <w:tc>
          <w:tcPr>
            <w:tcW w:w="2052" w:type="dxa"/>
            <w:vAlign w:val="center"/>
          </w:tcPr>
          <w:p w:rsidR="00735F50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研究员</w:t>
            </w:r>
          </w:p>
        </w:tc>
      </w:tr>
      <w:tr w:rsidR="008A1CF6" w:rsidRPr="006050D3" w:rsidTr="0059109D">
        <w:trPr>
          <w:trHeight w:val="510"/>
          <w:jc w:val="center"/>
        </w:trPr>
        <w:tc>
          <w:tcPr>
            <w:tcW w:w="2171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30ED9" w:rsidRPr="0059109D" w:rsidRDefault="00F13DE3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导师类别</w:t>
            </w:r>
          </w:p>
        </w:tc>
        <w:tc>
          <w:tcPr>
            <w:tcW w:w="1708" w:type="dxa"/>
            <w:vAlign w:val="center"/>
          </w:tcPr>
          <w:p w:rsidR="00130ED9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博</w:t>
            </w:r>
            <w:r w:rsidR="004F152C">
              <w:rPr>
                <w:rFonts w:asciiTheme="majorEastAsia" w:eastAsiaTheme="majorEastAsia" w:hAnsiTheme="majorEastAsia"/>
                <w:sz w:val="24"/>
                <w:szCs w:val="24"/>
              </w:rPr>
              <w:t>士生</w:t>
            </w:r>
            <w:r w:rsidRPr="00AA4713">
              <w:rPr>
                <w:rFonts w:asciiTheme="majorEastAsia" w:eastAsiaTheme="majorEastAsia" w:hAnsiTheme="majorEastAsia" w:hint="eastAsia"/>
                <w:sz w:val="24"/>
                <w:szCs w:val="24"/>
              </w:rPr>
              <w:t>导</w:t>
            </w:r>
            <w:r w:rsidR="004F152C"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</w:p>
        </w:tc>
        <w:tc>
          <w:tcPr>
            <w:tcW w:w="1418" w:type="dxa"/>
            <w:vAlign w:val="center"/>
          </w:tcPr>
          <w:p w:rsidR="00130ED9" w:rsidRPr="0059109D" w:rsidRDefault="008D2385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所属部门</w:t>
            </w:r>
          </w:p>
        </w:tc>
        <w:tc>
          <w:tcPr>
            <w:tcW w:w="2052" w:type="dxa"/>
            <w:vAlign w:val="center"/>
          </w:tcPr>
          <w:p w:rsidR="00130ED9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中药质量标准中心</w:t>
            </w:r>
          </w:p>
        </w:tc>
      </w:tr>
      <w:tr w:rsidR="008A1CF6" w:rsidRPr="008A1CF6" w:rsidTr="0059109D">
        <w:trPr>
          <w:trHeight w:val="20"/>
          <w:jc w:val="center"/>
        </w:trPr>
        <w:tc>
          <w:tcPr>
            <w:tcW w:w="2171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130ED9" w:rsidRPr="0059109D" w:rsidRDefault="00C83228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研究方向</w:t>
            </w:r>
          </w:p>
        </w:tc>
        <w:tc>
          <w:tcPr>
            <w:tcW w:w="1708" w:type="dxa"/>
            <w:vAlign w:val="center"/>
          </w:tcPr>
          <w:p w:rsidR="00130ED9" w:rsidRPr="00AA4713" w:rsidRDefault="008A1CF6" w:rsidP="005910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/>
                <w:sz w:val="24"/>
                <w:szCs w:val="24"/>
              </w:rPr>
              <w:t>中药药效物质基础及质量评价研究</w:t>
            </w:r>
            <w:r w:rsidR="004F152C">
              <w:rPr>
                <w:rFonts w:asciiTheme="majorEastAsia" w:eastAsiaTheme="majorEastAsia" w:hAnsiTheme="majorEastAsia"/>
                <w:sz w:val="24"/>
                <w:szCs w:val="24"/>
              </w:rPr>
              <w:t>、靶向</w:t>
            </w:r>
            <w:proofErr w:type="gramStart"/>
            <w:r w:rsidR="004F152C">
              <w:rPr>
                <w:rFonts w:asciiTheme="majorEastAsia" w:eastAsiaTheme="majorEastAsia" w:hAnsiTheme="majorEastAsia"/>
                <w:sz w:val="24"/>
                <w:szCs w:val="24"/>
              </w:rPr>
              <w:t>代谢组</w:t>
            </w:r>
            <w:proofErr w:type="gramEnd"/>
            <w:r w:rsidR="004F152C">
              <w:rPr>
                <w:rFonts w:asciiTheme="majorEastAsia" w:eastAsiaTheme="majorEastAsia" w:hAnsiTheme="majorEastAsia"/>
                <w:sz w:val="24"/>
                <w:szCs w:val="24"/>
              </w:rPr>
              <w:t>学研究</w:t>
            </w:r>
          </w:p>
        </w:tc>
        <w:tc>
          <w:tcPr>
            <w:tcW w:w="1418" w:type="dxa"/>
            <w:vAlign w:val="center"/>
          </w:tcPr>
          <w:p w:rsidR="00130ED9" w:rsidRPr="0059109D" w:rsidRDefault="00EE5B21" w:rsidP="0059109D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sz w:val="28"/>
                <w:szCs w:val="24"/>
              </w:rPr>
              <w:t>电子邮箱</w:t>
            </w:r>
          </w:p>
        </w:tc>
        <w:tc>
          <w:tcPr>
            <w:tcW w:w="2052" w:type="dxa"/>
            <w:vAlign w:val="center"/>
          </w:tcPr>
          <w:p w:rsidR="00130ED9" w:rsidRPr="0059109D" w:rsidRDefault="00905F7F" w:rsidP="0059109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hyperlink r:id="rId9" w:history="1">
              <w:r w:rsidR="00AA4713" w:rsidRPr="0059109D">
                <w:rPr>
                  <w:rStyle w:val="a8"/>
                  <w:rFonts w:asciiTheme="majorEastAsia" w:eastAsiaTheme="majorEastAsia" w:hAnsiTheme="majorEastAsia" w:hint="eastAsia"/>
                  <w:color w:val="000000" w:themeColor="text1"/>
                  <w:sz w:val="24"/>
                  <w:szCs w:val="24"/>
                  <w:u w:val="none"/>
                </w:rPr>
                <w:t>jjzhu@icmm.ac.cn</w:t>
              </w:r>
            </w:hyperlink>
          </w:p>
          <w:p w:rsidR="00AA4713" w:rsidRPr="0059109D" w:rsidRDefault="00AA4713" w:rsidP="0059109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9109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zhujj15@163.com</w:t>
            </w:r>
          </w:p>
        </w:tc>
      </w:tr>
      <w:tr w:rsidR="00D92ADD" w:rsidRPr="006050D3" w:rsidTr="0059109D">
        <w:trPr>
          <w:trHeight w:val="10108"/>
          <w:jc w:val="center"/>
        </w:trPr>
        <w:tc>
          <w:tcPr>
            <w:tcW w:w="2171" w:type="dxa"/>
          </w:tcPr>
          <w:p w:rsidR="00D92ADD" w:rsidRPr="00AA471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713">
              <w:rPr>
                <w:rFonts w:asciiTheme="majorEastAsia" w:eastAsiaTheme="majorEastAsia" w:hAnsiTheme="majorEastAsia" w:hint="eastAsia"/>
                <w:sz w:val="24"/>
                <w:szCs w:val="24"/>
              </w:rPr>
              <w:t>导师简介</w:t>
            </w:r>
          </w:p>
        </w:tc>
        <w:tc>
          <w:tcPr>
            <w:tcW w:w="6669" w:type="dxa"/>
            <w:gridSpan w:val="4"/>
          </w:tcPr>
          <w:p w:rsidR="0059109D" w:rsidRDefault="0059109D" w:rsidP="00EE548D">
            <w:pPr>
              <w:spacing w:line="360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52FA4" w:rsidRPr="00EE548D" w:rsidRDefault="00E035FD" w:rsidP="0059109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朱晶晶，中药分析专业，研究员，博士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研究生导师，中国药学会药物分析专业委员会成员，国家自然科学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金、北京市自然基金、国家博士后基金评审专家，中国实验方剂学杂志编委，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Royal Society of Chemistry Advances、Organic &amp; Biomolecular Chemistry、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Jo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urnal of Natural Product、中国中药杂志等期刊审稿人。2013年和2016年期间，曾两次赴美国加州大学戴维斯分校</w:t>
            </w:r>
            <w:proofErr w:type="gramStart"/>
            <w:r w:rsidRPr="00092E93">
              <w:rPr>
                <w:rFonts w:asciiTheme="minorEastAsia" w:hAnsiTheme="minorEastAsia"/>
                <w:sz w:val="24"/>
                <w:szCs w:val="24"/>
              </w:rPr>
              <w:t>代谢组</w:t>
            </w:r>
            <w:proofErr w:type="gramEnd"/>
            <w:r w:rsidRPr="00092E93">
              <w:rPr>
                <w:rFonts w:asciiTheme="minorEastAsia" w:hAnsiTheme="minorEastAsia"/>
                <w:sz w:val="24"/>
                <w:szCs w:val="24"/>
              </w:rPr>
              <w:t>学研究中心和美国农业部营养学研究中心访学，从事靶向</w:t>
            </w:r>
            <w:proofErr w:type="gramStart"/>
            <w:r w:rsidRPr="00092E93">
              <w:rPr>
                <w:rFonts w:asciiTheme="minorEastAsia" w:hAnsiTheme="minorEastAsia"/>
                <w:sz w:val="24"/>
                <w:szCs w:val="24"/>
              </w:rPr>
              <w:t>代谢组</w:t>
            </w:r>
            <w:proofErr w:type="gramEnd"/>
            <w:r w:rsidRPr="00092E93">
              <w:rPr>
                <w:rFonts w:asciiTheme="minorEastAsia" w:hAnsiTheme="minorEastAsia"/>
                <w:sz w:val="24"/>
                <w:szCs w:val="24"/>
              </w:rPr>
              <w:t>学等相关</w:t>
            </w:r>
            <w:r>
              <w:rPr>
                <w:rFonts w:asciiTheme="minorEastAsia" w:hAnsiTheme="minorEastAsia"/>
                <w:sz w:val="24"/>
                <w:szCs w:val="24"/>
              </w:rPr>
              <w:t>研究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目前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主要的研究方向：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1、中药药效物质基础研究</w:t>
            </w:r>
            <w:r>
              <w:rPr>
                <w:rFonts w:asciiTheme="minorEastAsia" w:hAnsiTheme="minorEastAsia"/>
                <w:sz w:val="24"/>
                <w:szCs w:val="24"/>
              </w:rPr>
              <w:t>及质量评价研究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；2、</w:t>
            </w:r>
            <w:r>
              <w:rPr>
                <w:rFonts w:asciiTheme="minorEastAsia" w:hAnsiTheme="minorEastAsia"/>
                <w:sz w:val="24"/>
                <w:szCs w:val="24"/>
              </w:rPr>
              <w:t>中药的综合利用研究及产品开发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；3、</w:t>
            </w:r>
            <w:r>
              <w:rPr>
                <w:rFonts w:asciiTheme="minorEastAsia" w:hAnsiTheme="minorEastAsia"/>
                <w:sz w:val="24"/>
                <w:szCs w:val="24"/>
              </w:rPr>
              <w:t>靶向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代谢组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学在中药安全性和有效性评价中的应用研究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。近5年共主持课题</w:t>
            </w:r>
            <w:r w:rsidR="00332037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项，其中主持国家自然科学</w:t>
            </w:r>
            <w:r w:rsidR="004F152C">
              <w:rPr>
                <w:rFonts w:asciiTheme="minorEastAsia" w:hAnsiTheme="minorEastAsia"/>
                <w:sz w:val="24"/>
                <w:szCs w:val="24"/>
              </w:rPr>
              <w:t>基金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项目共3项，参加科技部新药创制重大专项、</w:t>
            </w:r>
            <w:r w:rsidR="00332037">
              <w:rPr>
                <w:rFonts w:asciiTheme="minorEastAsia" w:hAnsiTheme="minorEastAsia"/>
                <w:sz w:val="24"/>
                <w:szCs w:val="24"/>
              </w:rPr>
              <w:t>国家重点研发计划、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国家中医药管理局行业专项、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“十一五”、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“十二五”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“十三五”科技支撑计划等多项课题，曾参加2010和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2015版《中国药典》标准修订等工作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。发表论文70余篇，SCI收录</w:t>
            </w:r>
            <w:r w:rsidR="002E5A2B">
              <w:rPr>
                <w:rFonts w:asciiTheme="minorEastAsia" w:hAnsiTheme="minorEastAsia"/>
                <w:sz w:val="24"/>
                <w:szCs w:val="24"/>
              </w:rPr>
              <w:t>30余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篇，参编专著3部，申报专利</w:t>
            </w:r>
            <w:r w:rsidR="00332037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092E93">
              <w:rPr>
                <w:rFonts w:asciiTheme="minorEastAsia" w:hAnsiTheme="minorEastAsia"/>
                <w:sz w:val="24"/>
                <w:szCs w:val="24"/>
              </w:rPr>
              <w:t>项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。2007年至今，作为指导老师培养研究生1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92E93">
              <w:rPr>
                <w:rFonts w:asciiTheme="minorEastAsia" w:hAnsiTheme="minorEastAsia" w:hint="eastAsia"/>
                <w:sz w:val="24"/>
                <w:szCs w:val="24"/>
              </w:rPr>
              <w:t>名。</w:t>
            </w:r>
          </w:p>
        </w:tc>
      </w:tr>
    </w:tbl>
    <w:p w:rsidR="004B520C" w:rsidRPr="00120500" w:rsidRDefault="004B520C" w:rsidP="002E4E03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 w:rsidSect="006D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7F" w:rsidRDefault="00905F7F" w:rsidP="00DC687E">
      <w:r>
        <w:separator/>
      </w:r>
    </w:p>
  </w:endnote>
  <w:endnote w:type="continuationSeparator" w:id="0">
    <w:p w:rsidR="00905F7F" w:rsidRDefault="00905F7F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7F" w:rsidRDefault="00905F7F" w:rsidP="00DC687E">
      <w:r>
        <w:separator/>
      </w:r>
    </w:p>
  </w:footnote>
  <w:footnote w:type="continuationSeparator" w:id="0">
    <w:p w:rsidR="00905F7F" w:rsidRDefault="00905F7F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02B71"/>
    <w:rsid w:val="00095DAF"/>
    <w:rsid w:val="00120500"/>
    <w:rsid w:val="00130ED9"/>
    <w:rsid w:val="001568B7"/>
    <w:rsid w:val="0018496D"/>
    <w:rsid w:val="001E1E84"/>
    <w:rsid w:val="001F2CEA"/>
    <w:rsid w:val="00211E75"/>
    <w:rsid w:val="002D1021"/>
    <w:rsid w:val="002E4E03"/>
    <w:rsid w:val="002E5A2B"/>
    <w:rsid w:val="00332037"/>
    <w:rsid w:val="003636A9"/>
    <w:rsid w:val="003D30B0"/>
    <w:rsid w:val="003E2D4D"/>
    <w:rsid w:val="00423252"/>
    <w:rsid w:val="0044647D"/>
    <w:rsid w:val="00452FA4"/>
    <w:rsid w:val="004A04E0"/>
    <w:rsid w:val="004B520C"/>
    <w:rsid w:val="004F152C"/>
    <w:rsid w:val="005007F2"/>
    <w:rsid w:val="00524644"/>
    <w:rsid w:val="00525FF6"/>
    <w:rsid w:val="00531A00"/>
    <w:rsid w:val="0054104C"/>
    <w:rsid w:val="00580B6A"/>
    <w:rsid w:val="0059109D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6D6FB9"/>
    <w:rsid w:val="00735F50"/>
    <w:rsid w:val="00786CC8"/>
    <w:rsid w:val="008272F6"/>
    <w:rsid w:val="008628D8"/>
    <w:rsid w:val="008A1CF6"/>
    <w:rsid w:val="008D2385"/>
    <w:rsid w:val="00905F7F"/>
    <w:rsid w:val="00956636"/>
    <w:rsid w:val="00A21018"/>
    <w:rsid w:val="00A30C2D"/>
    <w:rsid w:val="00AA4713"/>
    <w:rsid w:val="00AB1D4A"/>
    <w:rsid w:val="00AD3F95"/>
    <w:rsid w:val="00AF3D4D"/>
    <w:rsid w:val="00AF7005"/>
    <w:rsid w:val="00B878F3"/>
    <w:rsid w:val="00BC2CF4"/>
    <w:rsid w:val="00BC3A7A"/>
    <w:rsid w:val="00BE3697"/>
    <w:rsid w:val="00C83228"/>
    <w:rsid w:val="00C92BC7"/>
    <w:rsid w:val="00D1295E"/>
    <w:rsid w:val="00D75D29"/>
    <w:rsid w:val="00D92ADD"/>
    <w:rsid w:val="00DA7B0D"/>
    <w:rsid w:val="00DB2FF9"/>
    <w:rsid w:val="00DC687E"/>
    <w:rsid w:val="00E035FD"/>
    <w:rsid w:val="00E25576"/>
    <w:rsid w:val="00E70DFD"/>
    <w:rsid w:val="00ED54BD"/>
    <w:rsid w:val="00EE548D"/>
    <w:rsid w:val="00EE5B21"/>
    <w:rsid w:val="00F13DE3"/>
    <w:rsid w:val="00F96DCD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47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4713"/>
    <w:rPr>
      <w:sz w:val="18"/>
      <w:szCs w:val="18"/>
    </w:rPr>
  </w:style>
  <w:style w:type="character" w:styleId="a8">
    <w:name w:val="Hyperlink"/>
    <w:basedOn w:val="a0"/>
    <w:uiPriority w:val="99"/>
    <w:unhideWhenUsed/>
    <w:rsid w:val="00AA4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zhu@icm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Users</cp:lastModifiedBy>
  <cp:revision>15</cp:revision>
  <cp:lastPrinted>2019-09-05T00:43:00Z</cp:lastPrinted>
  <dcterms:created xsi:type="dcterms:W3CDTF">2018-06-07T06:13:00Z</dcterms:created>
  <dcterms:modified xsi:type="dcterms:W3CDTF">2019-09-05T00:43:00Z</dcterms:modified>
</cp:coreProperties>
</file>