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CF" w:rsidRDefault="00FF1C97">
      <w:pPr>
        <w:jc w:val="center"/>
        <w:rPr>
          <w:sz w:val="40"/>
          <w:szCs w:val="44"/>
        </w:rPr>
      </w:pPr>
      <w:r>
        <w:rPr>
          <w:rFonts w:hint="eastAsia"/>
          <w:sz w:val="40"/>
          <w:szCs w:val="44"/>
        </w:rPr>
        <w:t>导师简介</w:t>
      </w:r>
    </w:p>
    <w:tbl>
      <w:tblPr>
        <w:tblStyle w:val="a9"/>
        <w:tblW w:w="8840" w:type="dxa"/>
        <w:jc w:val="center"/>
        <w:tblLayout w:type="fixed"/>
        <w:tblLook w:val="04A0" w:firstRow="1" w:lastRow="0" w:firstColumn="1" w:lastColumn="0" w:noHBand="0" w:noVBand="1"/>
      </w:tblPr>
      <w:tblGrid>
        <w:gridCol w:w="1586"/>
        <w:gridCol w:w="1393"/>
        <w:gridCol w:w="2313"/>
        <w:gridCol w:w="1358"/>
        <w:gridCol w:w="2190"/>
      </w:tblGrid>
      <w:tr w:rsidR="003245CF" w:rsidTr="00FF1C97">
        <w:trPr>
          <w:trHeight w:val="637"/>
          <w:jc w:val="center"/>
        </w:trPr>
        <w:tc>
          <w:tcPr>
            <w:tcW w:w="1586" w:type="dxa"/>
            <w:vMerge w:val="restart"/>
          </w:tcPr>
          <w:p w:rsidR="003245CF" w:rsidRDefault="00FF1C97">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inline distT="0" distB="0" distL="114300" distR="114300">
                  <wp:extent cx="885825" cy="1438275"/>
                  <wp:effectExtent l="0" t="0" r="9525" b="9525"/>
                  <wp:docPr id="2" name="图片 2" descr="张彦琼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张彦琼照片"/>
                          <pic:cNvPicPr>
                            <a:picLocks noChangeAspect="1"/>
                          </pic:cNvPicPr>
                        </pic:nvPicPr>
                        <pic:blipFill>
                          <a:blip r:embed="rId5"/>
                          <a:stretch>
                            <a:fillRect/>
                          </a:stretch>
                        </pic:blipFill>
                        <pic:spPr>
                          <a:xfrm>
                            <a:off x="0" y="0"/>
                            <a:ext cx="885825" cy="1438275"/>
                          </a:xfrm>
                          <a:prstGeom prst="rect">
                            <a:avLst/>
                          </a:prstGeom>
                        </pic:spPr>
                      </pic:pic>
                    </a:graphicData>
                  </a:graphic>
                </wp:inline>
              </w:drawing>
            </w:r>
          </w:p>
        </w:tc>
        <w:tc>
          <w:tcPr>
            <w:tcW w:w="1393" w:type="dxa"/>
            <w:vAlign w:val="center"/>
          </w:tcPr>
          <w:p w:rsidR="003245CF" w:rsidRDefault="00FF1C97">
            <w:pPr>
              <w:rPr>
                <w:rFonts w:ascii="宋体" w:eastAsia="宋体" w:hAnsi="宋体"/>
                <w:sz w:val="24"/>
                <w:szCs w:val="24"/>
              </w:rPr>
            </w:pPr>
            <w:r>
              <w:rPr>
                <w:rFonts w:ascii="宋体" w:eastAsia="宋体" w:hAnsi="宋体" w:hint="eastAsia"/>
                <w:sz w:val="24"/>
                <w:szCs w:val="24"/>
              </w:rPr>
              <w:t>姓名</w:t>
            </w:r>
          </w:p>
        </w:tc>
        <w:tc>
          <w:tcPr>
            <w:tcW w:w="2313" w:type="dxa"/>
            <w:vAlign w:val="center"/>
          </w:tcPr>
          <w:p w:rsidR="003245CF" w:rsidRDefault="00FF1C97">
            <w:pPr>
              <w:rPr>
                <w:rFonts w:ascii="宋体" w:eastAsia="宋体" w:hAnsi="宋体"/>
                <w:sz w:val="24"/>
                <w:szCs w:val="24"/>
              </w:rPr>
            </w:pPr>
            <w:r>
              <w:rPr>
                <w:rFonts w:ascii="宋体" w:eastAsia="宋体" w:hAnsi="宋体" w:hint="eastAsia"/>
                <w:sz w:val="24"/>
                <w:szCs w:val="24"/>
              </w:rPr>
              <w:t>张彦琼</w:t>
            </w:r>
          </w:p>
        </w:tc>
        <w:tc>
          <w:tcPr>
            <w:tcW w:w="1358" w:type="dxa"/>
            <w:vAlign w:val="center"/>
          </w:tcPr>
          <w:p w:rsidR="003245CF" w:rsidRDefault="00FF1C97">
            <w:pPr>
              <w:rPr>
                <w:rFonts w:ascii="宋体" w:eastAsia="宋体" w:hAnsi="宋体"/>
                <w:sz w:val="24"/>
                <w:szCs w:val="24"/>
              </w:rPr>
            </w:pPr>
            <w:r>
              <w:rPr>
                <w:rFonts w:ascii="宋体" w:eastAsia="宋体" w:hAnsi="宋体" w:hint="eastAsia"/>
                <w:sz w:val="24"/>
                <w:szCs w:val="24"/>
              </w:rPr>
              <w:t>性别</w:t>
            </w:r>
          </w:p>
        </w:tc>
        <w:tc>
          <w:tcPr>
            <w:tcW w:w="2190" w:type="dxa"/>
            <w:vAlign w:val="center"/>
          </w:tcPr>
          <w:p w:rsidR="003245CF" w:rsidRDefault="00FF1C97">
            <w:pPr>
              <w:rPr>
                <w:rFonts w:ascii="宋体" w:eastAsia="宋体" w:hAnsi="宋体"/>
                <w:sz w:val="24"/>
                <w:szCs w:val="24"/>
              </w:rPr>
            </w:pPr>
            <w:r>
              <w:rPr>
                <w:rFonts w:ascii="宋体" w:eastAsia="宋体" w:hAnsi="宋体" w:hint="eastAsia"/>
                <w:sz w:val="24"/>
                <w:szCs w:val="24"/>
              </w:rPr>
              <w:t>女</w:t>
            </w:r>
          </w:p>
        </w:tc>
      </w:tr>
      <w:tr w:rsidR="003245CF" w:rsidTr="00FF1C97">
        <w:trPr>
          <w:trHeight w:val="546"/>
          <w:jc w:val="center"/>
        </w:trPr>
        <w:tc>
          <w:tcPr>
            <w:tcW w:w="1586" w:type="dxa"/>
            <w:vMerge/>
          </w:tcPr>
          <w:p w:rsidR="003245CF" w:rsidRDefault="003245CF">
            <w:pPr>
              <w:rPr>
                <w:rFonts w:asciiTheme="majorEastAsia" w:eastAsiaTheme="majorEastAsia" w:hAnsiTheme="majorEastAsia"/>
                <w:sz w:val="24"/>
                <w:szCs w:val="24"/>
              </w:rPr>
            </w:pPr>
          </w:p>
        </w:tc>
        <w:tc>
          <w:tcPr>
            <w:tcW w:w="1393" w:type="dxa"/>
            <w:vAlign w:val="center"/>
          </w:tcPr>
          <w:p w:rsidR="003245CF" w:rsidRDefault="00FF1C97">
            <w:pPr>
              <w:rPr>
                <w:rFonts w:ascii="宋体" w:eastAsia="宋体" w:hAnsi="宋体"/>
                <w:sz w:val="24"/>
                <w:szCs w:val="24"/>
              </w:rPr>
            </w:pPr>
            <w:r>
              <w:rPr>
                <w:rFonts w:ascii="宋体" w:eastAsia="宋体" w:hAnsi="宋体" w:hint="eastAsia"/>
                <w:sz w:val="24"/>
                <w:szCs w:val="24"/>
              </w:rPr>
              <w:t>学历</w:t>
            </w:r>
          </w:p>
        </w:tc>
        <w:tc>
          <w:tcPr>
            <w:tcW w:w="2313" w:type="dxa"/>
            <w:vAlign w:val="center"/>
          </w:tcPr>
          <w:p w:rsidR="003245CF" w:rsidRDefault="00FF1C97">
            <w:pPr>
              <w:rPr>
                <w:rFonts w:ascii="宋体" w:eastAsia="宋体" w:hAnsi="宋体"/>
                <w:sz w:val="24"/>
                <w:szCs w:val="24"/>
              </w:rPr>
            </w:pPr>
            <w:r>
              <w:rPr>
                <w:rFonts w:ascii="宋体" w:eastAsia="宋体" w:hAnsi="宋体" w:hint="eastAsia"/>
                <w:sz w:val="24"/>
                <w:szCs w:val="24"/>
              </w:rPr>
              <w:t>博士</w:t>
            </w:r>
          </w:p>
        </w:tc>
        <w:tc>
          <w:tcPr>
            <w:tcW w:w="1358" w:type="dxa"/>
            <w:vAlign w:val="center"/>
          </w:tcPr>
          <w:p w:rsidR="003245CF" w:rsidRDefault="00FF1C97">
            <w:pPr>
              <w:rPr>
                <w:rFonts w:ascii="宋体" w:eastAsia="宋体" w:hAnsi="宋体"/>
                <w:sz w:val="24"/>
                <w:szCs w:val="24"/>
              </w:rPr>
            </w:pPr>
            <w:r>
              <w:rPr>
                <w:rFonts w:ascii="宋体" w:eastAsia="宋体" w:hAnsi="宋体" w:hint="eastAsia"/>
                <w:sz w:val="24"/>
                <w:szCs w:val="24"/>
              </w:rPr>
              <w:t>职称</w:t>
            </w:r>
          </w:p>
        </w:tc>
        <w:tc>
          <w:tcPr>
            <w:tcW w:w="2190" w:type="dxa"/>
            <w:vAlign w:val="center"/>
          </w:tcPr>
          <w:p w:rsidR="003245CF" w:rsidRDefault="00FF1C97">
            <w:pPr>
              <w:rPr>
                <w:rFonts w:ascii="宋体" w:eastAsia="宋体" w:hAnsi="宋体"/>
                <w:sz w:val="24"/>
                <w:szCs w:val="24"/>
              </w:rPr>
            </w:pPr>
            <w:r>
              <w:rPr>
                <w:rFonts w:ascii="宋体" w:eastAsia="宋体" w:hAnsi="宋体" w:hint="eastAsia"/>
                <w:sz w:val="24"/>
                <w:szCs w:val="24"/>
              </w:rPr>
              <w:t>研究员</w:t>
            </w:r>
          </w:p>
        </w:tc>
      </w:tr>
      <w:tr w:rsidR="003245CF" w:rsidTr="00FF1C97">
        <w:trPr>
          <w:trHeight w:val="710"/>
          <w:jc w:val="center"/>
        </w:trPr>
        <w:tc>
          <w:tcPr>
            <w:tcW w:w="1586" w:type="dxa"/>
            <w:vMerge/>
          </w:tcPr>
          <w:p w:rsidR="003245CF" w:rsidRDefault="003245CF">
            <w:pPr>
              <w:rPr>
                <w:rFonts w:asciiTheme="majorEastAsia" w:eastAsiaTheme="majorEastAsia" w:hAnsiTheme="majorEastAsia"/>
                <w:sz w:val="24"/>
                <w:szCs w:val="24"/>
              </w:rPr>
            </w:pPr>
          </w:p>
        </w:tc>
        <w:tc>
          <w:tcPr>
            <w:tcW w:w="1393" w:type="dxa"/>
            <w:vAlign w:val="center"/>
          </w:tcPr>
          <w:p w:rsidR="003245CF" w:rsidRDefault="00FF1C97">
            <w:pPr>
              <w:rPr>
                <w:rFonts w:ascii="宋体" w:eastAsia="宋体" w:hAnsi="宋体"/>
                <w:sz w:val="24"/>
                <w:szCs w:val="24"/>
              </w:rPr>
            </w:pPr>
            <w:r>
              <w:rPr>
                <w:rFonts w:ascii="宋体" w:eastAsia="宋体" w:hAnsi="宋体" w:hint="eastAsia"/>
                <w:sz w:val="24"/>
                <w:szCs w:val="24"/>
              </w:rPr>
              <w:t>导师类别</w:t>
            </w:r>
          </w:p>
        </w:tc>
        <w:tc>
          <w:tcPr>
            <w:tcW w:w="2313" w:type="dxa"/>
            <w:vAlign w:val="center"/>
          </w:tcPr>
          <w:p w:rsidR="003245CF" w:rsidRDefault="00FF1C97">
            <w:pPr>
              <w:rPr>
                <w:rFonts w:ascii="宋体" w:eastAsia="宋体" w:hAnsi="宋体"/>
                <w:sz w:val="24"/>
                <w:szCs w:val="24"/>
              </w:rPr>
            </w:pPr>
            <w:r>
              <w:rPr>
                <w:rFonts w:ascii="宋体" w:eastAsia="宋体" w:hAnsi="宋体" w:hint="eastAsia"/>
                <w:sz w:val="24"/>
                <w:szCs w:val="24"/>
              </w:rPr>
              <w:t>博士生导师</w:t>
            </w:r>
          </w:p>
        </w:tc>
        <w:tc>
          <w:tcPr>
            <w:tcW w:w="1358" w:type="dxa"/>
            <w:vAlign w:val="center"/>
          </w:tcPr>
          <w:p w:rsidR="003245CF" w:rsidRDefault="00FF1C97">
            <w:pPr>
              <w:rPr>
                <w:rFonts w:ascii="宋体" w:eastAsia="宋体" w:hAnsi="宋体"/>
                <w:sz w:val="24"/>
                <w:szCs w:val="24"/>
              </w:rPr>
            </w:pPr>
            <w:r>
              <w:rPr>
                <w:rFonts w:ascii="宋体" w:eastAsia="宋体" w:hAnsi="宋体" w:hint="eastAsia"/>
                <w:sz w:val="24"/>
                <w:szCs w:val="24"/>
              </w:rPr>
              <w:t>所属部门</w:t>
            </w:r>
          </w:p>
        </w:tc>
        <w:tc>
          <w:tcPr>
            <w:tcW w:w="2190" w:type="dxa"/>
            <w:vAlign w:val="center"/>
          </w:tcPr>
          <w:p w:rsidR="003245CF" w:rsidRDefault="00FF1C97">
            <w:pPr>
              <w:rPr>
                <w:rFonts w:ascii="宋体" w:eastAsia="宋体" w:hAnsi="宋体"/>
                <w:sz w:val="24"/>
                <w:szCs w:val="24"/>
              </w:rPr>
            </w:pPr>
            <w:r>
              <w:rPr>
                <w:rFonts w:ascii="宋体" w:eastAsia="宋体" w:hAnsi="宋体" w:hint="eastAsia"/>
                <w:sz w:val="24"/>
                <w:szCs w:val="24"/>
              </w:rPr>
              <w:t>中药理论与本草 文献研究中心</w:t>
            </w:r>
          </w:p>
        </w:tc>
      </w:tr>
      <w:tr w:rsidR="003245CF" w:rsidTr="00FF1C97">
        <w:trPr>
          <w:trHeight w:val="847"/>
          <w:jc w:val="center"/>
        </w:trPr>
        <w:tc>
          <w:tcPr>
            <w:tcW w:w="1586" w:type="dxa"/>
            <w:vMerge/>
          </w:tcPr>
          <w:p w:rsidR="003245CF" w:rsidRDefault="003245CF">
            <w:pPr>
              <w:rPr>
                <w:rFonts w:asciiTheme="majorEastAsia" w:eastAsiaTheme="majorEastAsia" w:hAnsiTheme="majorEastAsia"/>
                <w:sz w:val="24"/>
                <w:szCs w:val="24"/>
              </w:rPr>
            </w:pPr>
          </w:p>
        </w:tc>
        <w:tc>
          <w:tcPr>
            <w:tcW w:w="1393" w:type="dxa"/>
            <w:vAlign w:val="center"/>
          </w:tcPr>
          <w:p w:rsidR="003245CF" w:rsidRDefault="00FF1C97">
            <w:pPr>
              <w:rPr>
                <w:rFonts w:ascii="宋体" w:eastAsia="宋体" w:hAnsi="宋体"/>
                <w:sz w:val="24"/>
                <w:szCs w:val="24"/>
              </w:rPr>
            </w:pPr>
            <w:r>
              <w:rPr>
                <w:rFonts w:ascii="宋体" w:eastAsia="宋体" w:hAnsi="宋体" w:hint="eastAsia"/>
                <w:sz w:val="24"/>
                <w:szCs w:val="24"/>
              </w:rPr>
              <w:t>研究方向</w:t>
            </w:r>
          </w:p>
        </w:tc>
        <w:tc>
          <w:tcPr>
            <w:tcW w:w="2313" w:type="dxa"/>
            <w:vAlign w:val="center"/>
          </w:tcPr>
          <w:p w:rsidR="003245CF" w:rsidRDefault="00FF1C97">
            <w:pPr>
              <w:rPr>
                <w:rFonts w:ascii="宋体" w:eastAsia="宋体" w:hAnsi="宋体"/>
                <w:sz w:val="24"/>
                <w:szCs w:val="24"/>
              </w:rPr>
            </w:pPr>
            <w:r>
              <w:rPr>
                <w:rFonts w:ascii="宋体" w:eastAsia="宋体" w:hAnsi="宋体" w:hint="eastAsia"/>
                <w:sz w:val="24"/>
                <w:szCs w:val="24"/>
              </w:rPr>
              <w:t>基于生物信息学的中医药现代化研究</w:t>
            </w:r>
          </w:p>
        </w:tc>
        <w:tc>
          <w:tcPr>
            <w:tcW w:w="1358" w:type="dxa"/>
            <w:vAlign w:val="center"/>
          </w:tcPr>
          <w:p w:rsidR="003245CF" w:rsidRDefault="00FF1C97">
            <w:pPr>
              <w:rPr>
                <w:rFonts w:ascii="宋体" w:eastAsia="宋体" w:hAnsi="宋体"/>
                <w:sz w:val="24"/>
                <w:szCs w:val="24"/>
              </w:rPr>
            </w:pPr>
            <w:r>
              <w:rPr>
                <w:rFonts w:ascii="宋体" w:eastAsia="宋体" w:hAnsi="宋体" w:hint="eastAsia"/>
                <w:sz w:val="24"/>
                <w:szCs w:val="24"/>
              </w:rPr>
              <w:t>电子邮箱</w:t>
            </w:r>
          </w:p>
        </w:tc>
        <w:tc>
          <w:tcPr>
            <w:tcW w:w="2190" w:type="dxa"/>
            <w:vAlign w:val="center"/>
          </w:tcPr>
          <w:p w:rsidR="003245CF" w:rsidRDefault="00FF1C97">
            <w:pPr>
              <w:rPr>
                <w:rFonts w:ascii="宋体" w:eastAsia="宋体" w:hAnsi="宋体"/>
                <w:sz w:val="24"/>
                <w:szCs w:val="24"/>
              </w:rPr>
            </w:pPr>
            <w:r>
              <w:rPr>
                <w:rFonts w:ascii="宋体" w:eastAsia="宋体" w:hAnsi="宋体" w:hint="eastAsia"/>
                <w:sz w:val="24"/>
                <w:szCs w:val="24"/>
              </w:rPr>
              <w:t>yqzhang@icmm.ac.cn</w:t>
            </w:r>
          </w:p>
        </w:tc>
      </w:tr>
      <w:tr w:rsidR="003245CF" w:rsidRPr="00FF1C97">
        <w:trPr>
          <w:trHeight w:val="9022"/>
          <w:jc w:val="center"/>
        </w:trPr>
        <w:tc>
          <w:tcPr>
            <w:tcW w:w="1586" w:type="dxa"/>
          </w:tcPr>
          <w:p w:rsidR="003245CF" w:rsidRDefault="00FF1C9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导师简介</w:t>
            </w:r>
          </w:p>
        </w:tc>
        <w:tc>
          <w:tcPr>
            <w:tcW w:w="7254" w:type="dxa"/>
            <w:gridSpan w:val="4"/>
          </w:tcPr>
          <w:p w:rsidR="003245CF" w:rsidRDefault="00FF1C97">
            <w:pPr>
              <w:spacing w:line="400" w:lineRule="exact"/>
              <w:ind w:firstLineChars="150" w:firstLine="360"/>
              <w:rPr>
                <w:rFonts w:ascii="宋体" w:eastAsia="宋体" w:hAnsi="宋体" w:cs="宋体"/>
                <w:color w:val="000000"/>
                <w:sz w:val="24"/>
                <w:szCs w:val="20"/>
              </w:rPr>
            </w:pPr>
            <w:r>
              <w:rPr>
                <w:rFonts w:ascii="宋体" w:eastAsia="宋体" w:hAnsi="宋体" w:cs="宋体" w:hint="eastAsia"/>
                <w:sz w:val="24"/>
                <w:szCs w:val="24"/>
              </w:rPr>
              <w:t>张彦琼，中国医学科学院&amp;北京协和医学院医学遗传学博士，中国中医科学院研究员、博士生导师。现任中国中医科学院中药研究所中药理论与本草文献研究中心副主任。兼任中国中药协会骨伤科药物研究专业委员会副秘书长，中华中医药学会免疫学分会、中药基础理论分会和风湿病</w:t>
            </w:r>
            <w:proofErr w:type="gramStart"/>
            <w:r>
              <w:rPr>
                <w:rFonts w:ascii="宋体" w:eastAsia="宋体" w:hAnsi="宋体" w:cs="宋体" w:hint="eastAsia"/>
                <w:sz w:val="24"/>
                <w:szCs w:val="24"/>
              </w:rPr>
              <w:t>分会常委</w:t>
            </w:r>
            <w:proofErr w:type="gramEnd"/>
            <w:r>
              <w:rPr>
                <w:rFonts w:ascii="宋体" w:eastAsia="宋体" w:hAnsi="宋体" w:cs="宋体" w:hint="eastAsia"/>
                <w:sz w:val="24"/>
                <w:szCs w:val="24"/>
              </w:rPr>
              <w:t>等。</w:t>
            </w:r>
          </w:p>
          <w:p w:rsidR="003245CF" w:rsidRDefault="00FF1C97">
            <w:pPr>
              <w:spacing w:line="400" w:lineRule="exact"/>
              <w:ind w:firstLineChars="152" w:firstLine="365"/>
              <w:rPr>
                <w:rFonts w:ascii="宋体" w:eastAsia="宋体" w:hAnsi="宋体" w:cs="宋体"/>
                <w:sz w:val="24"/>
                <w:szCs w:val="24"/>
              </w:rPr>
            </w:pPr>
            <w:r>
              <w:rPr>
                <w:rFonts w:ascii="宋体" w:eastAsia="宋体" w:hAnsi="宋体" w:cs="宋体" w:hint="eastAsia"/>
                <w:color w:val="000000"/>
                <w:sz w:val="24"/>
                <w:szCs w:val="20"/>
              </w:rPr>
              <w:t>作为国家中医药管理局临床中药学-中药药性理论重点学科后备带头人，</w:t>
            </w:r>
            <w:r>
              <w:rPr>
                <w:rFonts w:ascii="宋体" w:eastAsia="宋体" w:hAnsi="宋体" w:cs="宋体" w:hint="eastAsia"/>
                <w:sz w:val="24"/>
                <w:szCs w:val="24"/>
              </w:rPr>
              <w:t>本人</w:t>
            </w:r>
            <w:r>
              <w:rPr>
                <w:rFonts w:ascii="宋体" w:eastAsia="宋体" w:hAnsi="宋体" w:cs="宋体" w:hint="eastAsia"/>
                <w:color w:val="000000"/>
                <w:sz w:val="24"/>
                <w:szCs w:val="20"/>
              </w:rPr>
              <w:t>以继承创新中药药性理论、指导中药临床合理应用和新药研发为目标，聚焦于中药药性科学内涵及其表征方法研究、基于临床合理用药的代表性“有毒”中药“效-毒”评价研究、中医药大数据智能研究平台建设及其在中药优势品种研制中的示范应用等工作</w:t>
            </w:r>
            <w:r>
              <w:rPr>
                <w:rFonts w:ascii="宋体" w:eastAsia="宋体" w:hAnsi="宋体" w:cs="宋体" w:hint="eastAsia"/>
                <w:sz w:val="24"/>
                <w:szCs w:val="24"/>
              </w:rPr>
              <w:t>。</w:t>
            </w:r>
            <w:r>
              <w:rPr>
                <w:rFonts w:ascii="宋体" w:eastAsia="宋体" w:hAnsi="宋体" w:hint="eastAsia"/>
                <w:sz w:val="24"/>
                <w:szCs w:val="24"/>
              </w:rPr>
              <w:t>作为负责人先后</w:t>
            </w:r>
            <w:r>
              <w:rPr>
                <w:rFonts w:ascii="宋体" w:eastAsia="宋体" w:hAnsi="宋体"/>
                <w:sz w:val="24"/>
                <w:szCs w:val="24"/>
              </w:rPr>
              <w:t>主持</w:t>
            </w:r>
            <w:r w:rsidRPr="00F679F8">
              <w:rPr>
                <w:rFonts w:ascii="宋体" w:eastAsia="宋体" w:hAnsi="宋体"/>
                <w:bCs/>
                <w:sz w:val="24"/>
                <w:szCs w:val="24"/>
              </w:rPr>
              <w:t>国家、省部级课题</w:t>
            </w:r>
            <w:r w:rsidRPr="00F679F8">
              <w:rPr>
                <w:rFonts w:ascii="宋体" w:eastAsia="宋体" w:hAnsi="宋体" w:hint="eastAsia"/>
                <w:bCs/>
                <w:sz w:val="24"/>
                <w:szCs w:val="24"/>
              </w:rPr>
              <w:t>10项</w:t>
            </w:r>
            <w:r w:rsidRPr="00F679F8">
              <w:rPr>
                <w:rFonts w:ascii="宋体" w:eastAsia="宋体" w:hAnsi="宋体" w:hint="eastAsia"/>
                <w:sz w:val="24"/>
                <w:szCs w:val="24"/>
              </w:rPr>
              <w:t>；</w:t>
            </w:r>
            <w:r>
              <w:rPr>
                <w:rFonts w:ascii="宋体" w:eastAsia="宋体" w:hAnsi="宋体" w:cs="宋体" w:hint="eastAsia"/>
                <w:sz w:val="24"/>
                <w:szCs w:val="24"/>
              </w:rPr>
              <w:t>以责任作者在国际和国内本领域权威杂志</w:t>
            </w:r>
            <w:proofErr w:type="gramStart"/>
            <w:r>
              <w:rPr>
                <w:rFonts w:ascii="宋体" w:eastAsia="宋体" w:hAnsi="宋体" w:cs="宋体" w:hint="eastAsia"/>
                <w:sz w:val="24"/>
                <w:szCs w:val="24"/>
              </w:rPr>
              <w:t>发表高</w:t>
            </w:r>
            <w:proofErr w:type="gramEnd"/>
            <w:r>
              <w:rPr>
                <w:rFonts w:ascii="宋体" w:eastAsia="宋体" w:hAnsi="宋体" w:cs="宋体" w:hint="eastAsia"/>
                <w:sz w:val="24"/>
                <w:szCs w:val="24"/>
              </w:rPr>
              <w:t>影响力论文38篇，其中</w:t>
            </w:r>
            <w:r w:rsidRPr="00F679F8">
              <w:rPr>
                <w:rFonts w:ascii="宋体" w:eastAsia="宋体" w:hAnsi="宋体" w:cs="宋体" w:hint="eastAsia"/>
                <w:bCs/>
                <w:sz w:val="24"/>
                <w:szCs w:val="24"/>
              </w:rPr>
              <w:t>12篇为JCR Q1区、6篇IF大于10（单篇最高IF=27）、1篇为ESI高被引论文、1篇入选“北京地区广受关注学术论文”</w:t>
            </w:r>
            <w:r w:rsidRPr="00F679F8">
              <w:rPr>
                <w:rFonts w:ascii="宋体" w:eastAsia="宋体" w:hAnsi="宋体" w:cs="宋体" w:hint="eastAsia"/>
                <w:sz w:val="24"/>
                <w:szCs w:val="24"/>
              </w:rPr>
              <w:t>。以</w:t>
            </w:r>
            <w:r w:rsidRPr="00F679F8">
              <w:rPr>
                <w:rFonts w:ascii="宋体" w:eastAsia="宋体" w:hAnsi="宋体" w:cs="宋体" w:hint="eastAsia"/>
                <w:bCs/>
                <w:sz w:val="24"/>
                <w:szCs w:val="24"/>
              </w:rPr>
              <w:t>第一发明人获得授权专利4项</w:t>
            </w:r>
            <w:r w:rsidRPr="00F679F8">
              <w:rPr>
                <w:rFonts w:ascii="宋体" w:eastAsia="宋体" w:hAnsi="宋体" w:cs="宋体" w:hint="eastAsia"/>
                <w:sz w:val="24"/>
                <w:szCs w:val="24"/>
              </w:rPr>
              <w:t>、</w:t>
            </w:r>
            <w:proofErr w:type="gramStart"/>
            <w:r>
              <w:rPr>
                <w:rFonts w:ascii="宋体" w:eastAsia="宋体" w:hAnsi="宋体" w:cs="宋体" w:hint="eastAsia"/>
                <w:sz w:val="24"/>
                <w:szCs w:val="24"/>
              </w:rPr>
              <w:t>软著4项</w:t>
            </w:r>
            <w:proofErr w:type="gramEnd"/>
            <w:r>
              <w:rPr>
                <w:rFonts w:ascii="宋体" w:eastAsia="宋体" w:hAnsi="宋体" w:cs="宋体" w:hint="eastAsia"/>
                <w:sz w:val="24"/>
                <w:szCs w:val="24"/>
              </w:rPr>
              <w:t>。作为</w:t>
            </w:r>
            <w:r w:rsidRPr="00F679F8">
              <w:rPr>
                <w:rFonts w:ascii="宋体" w:eastAsia="宋体" w:hAnsi="宋体" w:cs="宋体" w:hint="eastAsia"/>
                <w:bCs/>
                <w:sz w:val="24"/>
                <w:szCs w:val="24"/>
              </w:rPr>
              <w:t>副主编出版专著1部</w:t>
            </w:r>
            <w:r w:rsidRPr="00F679F8">
              <w:rPr>
                <w:rFonts w:ascii="宋体" w:eastAsia="宋体" w:hAnsi="宋体" w:cs="宋体" w:hint="eastAsia"/>
                <w:sz w:val="24"/>
                <w:szCs w:val="24"/>
              </w:rPr>
              <w:t>、</w:t>
            </w:r>
            <w:r>
              <w:rPr>
                <w:rFonts w:ascii="宋体" w:eastAsia="宋体" w:hAnsi="宋体" w:cs="宋体" w:hint="eastAsia"/>
                <w:sz w:val="24"/>
                <w:szCs w:val="24"/>
              </w:rPr>
              <w:t>参编著作3部。成果分获</w:t>
            </w:r>
            <w:r w:rsidRPr="00F679F8">
              <w:rPr>
                <w:rFonts w:ascii="宋体" w:eastAsia="宋体" w:hAnsi="宋体" w:cs="宋体" w:hint="eastAsia"/>
                <w:bCs/>
                <w:sz w:val="24"/>
                <w:szCs w:val="24"/>
              </w:rPr>
              <w:t>省部级科技进步一、二等奖</w:t>
            </w:r>
            <w:r>
              <w:rPr>
                <w:rFonts w:ascii="宋体" w:eastAsia="宋体" w:hAnsi="宋体" w:cs="宋体" w:hint="eastAsia"/>
                <w:sz w:val="24"/>
                <w:szCs w:val="24"/>
              </w:rPr>
              <w:t>，并</w:t>
            </w:r>
            <w:r w:rsidRPr="00F679F8">
              <w:rPr>
                <w:rFonts w:ascii="宋体" w:eastAsia="宋体" w:hAnsi="宋体" w:cs="宋体" w:hint="eastAsia"/>
                <w:bCs/>
                <w:sz w:val="24"/>
                <w:szCs w:val="24"/>
              </w:rPr>
              <w:t>入选“2019年中医药优秀青年学者科技成果汇编”</w:t>
            </w:r>
            <w:r w:rsidRPr="00F679F8">
              <w:rPr>
                <w:rFonts w:ascii="宋体" w:eastAsia="宋体" w:hAnsi="宋体" w:cs="宋体" w:hint="eastAsia"/>
                <w:sz w:val="24"/>
                <w:szCs w:val="24"/>
              </w:rPr>
              <w:t>。</w:t>
            </w:r>
            <w:r>
              <w:rPr>
                <w:rFonts w:ascii="宋体" w:eastAsia="宋体" w:hAnsi="宋体" w:cs="宋体" w:hint="eastAsia"/>
                <w:sz w:val="24"/>
                <w:szCs w:val="24"/>
              </w:rPr>
              <w:t>2015年入选</w:t>
            </w:r>
            <w:r w:rsidRPr="00F679F8">
              <w:rPr>
                <w:rFonts w:ascii="宋体" w:eastAsia="宋体" w:hAnsi="宋体" w:cs="宋体" w:hint="eastAsia"/>
                <w:bCs/>
                <w:sz w:val="24"/>
                <w:szCs w:val="24"/>
              </w:rPr>
              <w:t>北京市科技新星</w:t>
            </w:r>
            <w:r>
              <w:rPr>
                <w:rFonts w:ascii="宋体" w:eastAsia="宋体" w:hAnsi="宋体" w:cs="宋体" w:hint="eastAsia"/>
                <w:sz w:val="24"/>
                <w:szCs w:val="24"/>
              </w:rPr>
              <w:t>、2016年获得</w:t>
            </w:r>
            <w:r w:rsidRPr="00F679F8">
              <w:rPr>
                <w:rFonts w:ascii="宋体" w:eastAsia="宋体" w:hAnsi="宋体" w:cs="宋体" w:hint="eastAsia"/>
                <w:bCs/>
                <w:sz w:val="24"/>
                <w:szCs w:val="24"/>
              </w:rPr>
              <w:t>“中华中医药学会中青年创新人才”</w:t>
            </w:r>
            <w:r>
              <w:rPr>
                <w:rFonts w:ascii="宋体" w:eastAsia="宋体" w:hAnsi="宋体" w:cs="宋体" w:hint="eastAsia"/>
                <w:sz w:val="24"/>
                <w:szCs w:val="24"/>
              </w:rPr>
              <w:t>称号，2020年被评为</w:t>
            </w:r>
            <w:r w:rsidRPr="00F679F8">
              <w:rPr>
                <w:rFonts w:ascii="宋体" w:eastAsia="宋体" w:hAnsi="宋体" w:cs="宋体" w:hint="eastAsia"/>
                <w:bCs/>
                <w:sz w:val="24"/>
                <w:szCs w:val="24"/>
              </w:rPr>
              <w:t>全球前2%顶尖科学家</w:t>
            </w:r>
            <w:r w:rsidRPr="00F679F8">
              <w:rPr>
                <w:rFonts w:ascii="宋体" w:eastAsia="宋体" w:hAnsi="宋体" w:cs="宋体" w:hint="eastAsia"/>
                <w:sz w:val="24"/>
                <w:szCs w:val="24"/>
              </w:rPr>
              <w:t>。</w:t>
            </w:r>
            <w:r>
              <w:rPr>
                <w:rFonts w:ascii="宋体" w:eastAsia="宋体" w:hAnsi="宋体" w:cs="宋体" w:hint="eastAsia"/>
                <w:sz w:val="24"/>
                <w:szCs w:val="24"/>
              </w:rPr>
              <w:t>2015年和2021年分别被评为</w:t>
            </w:r>
            <w:r w:rsidRPr="00F679F8">
              <w:rPr>
                <w:rFonts w:ascii="宋体" w:eastAsia="宋体" w:hAnsi="宋体" w:cs="宋体" w:hint="eastAsia"/>
                <w:bCs/>
                <w:sz w:val="24"/>
                <w:szCs w:val="24"/>
              </w:rPr>
              <w:t>国家卫生计生委直属机关和国家中医药管理局优秀共产党员</w:t>
            </w:r>
            <w:r>
              <w:rPr>
                <w:rFonts w:ascii="宋体" w:eastAsia="宋体" w:hAnsi="宋体" w:cs="宋体" w:hint="eastAsia"/>
                <w:sz w:val="24"/>
                <w:szCs w:val="24"/>
              </w:rPr>
              <w:t>。</w:t>
            </w:r>
            <w:proofErr w:type="gramStart"/>
            <w:r>
              <w:rPr>
                <w:rFonts w:ascii="宋体" w:eastAsia="宋体" w:hAnsi="宋体" w:cs="宋体" w:hint="eastAsia"/>
                <w:sz w:val="24"/>
                <w:szCs w:val="24"/>
              </w:rPr>
              <w:t>带教及培养</w:t>
            </w:r>
            <w:proofErr w:type="gramEnd"/>
            <w:r w:rsidRPr="00F679F8">
              <w:rPr>
                <w:rFonts w:ascii="宋体" w:eastAsia="宋体" w:hAnsi="宋体" w:cs="宋体" w:hint="eastAsia"/>
                <w:bCs/>
                <w:sz w:val="24"/>
                <w:szCs w:val="24"/>
              </w:rPr>
              <w:t>国家奖学金获得者4名</w:t>
            </w:r>
            <w:r w:rsidRPr="00F679F8">
              <w:rPr>
                <w:rFonts w:ascii="宋体" w:eastAsia="宋体" w:hAnsi="宋体" w:cs="宋体" w:hint="eastAsia"/>
                <w:sz w:val="24"/>
                <w:szCs w:val="24"/>
              </w:rPr>
              <w:t>和</w:t>
            </w:r>
            <w:r w:rsidRPr="00F679F8">
              <w:rPr>
                <w:rFonts w:ascii="宋体" w:eastAsia="宋体" w:hAnsi="宋体" w:cs="宋体" w:hint="eastAsia"/>
                <w:bCs/>
                <w:sz w:val="24"/>
                <w:szCs w:val="24"/>
              </w:rPr>
              <w:t>北京市优秀毕业生2名等。</w:t>
            </w:r>
          </w:p>
        </w:tc>
        <w:bookmarkStart w:id="0" w:name="_GoBack"/>
        <w:bookmarkEnd w:id="0"/>
      </w:tr>
    </w:tbl>
    <w:p w:rsidR="003245CF" w:rsidRDefault="003245CF">
      <w:pPr>
        <w:spacing w:line="14" w:lineRule="exact"/>
        <w:rPr>
          <w:rFonts w:asciiTheme="majorEastAsia" w:eastAsiaTheme="majorEastAsia" w:hAnsiTheme="majorEastAsia"/>
          <w:color w:val="000000" w:themeColor="text1"/>
          <w:sz w:val="24"/>
          <w:szCs w:val="28"/>
        </w:rPr>
      </w:pPr>
    </w:p>
    <w:p w:rsidR="003245CF" w:rsidRDefault="003245CF">
      <w:pPr>
        <w:rPr>
          <w:rFonts w:asciiTheme="majorEastAsia" w:eastAsiaTheme="majorEastAsia" w:hAnsiTheme="majorEastAsia"/>
          <w:color w:val="000000" w:themeColor="text1"/>
          <w:szCs w:val="28"/>
        </w:rPr>
      </w:pPr>
    </w:p>
    <w:p w:rsidR="003245CF" w:rsidRDefault="003245CF">
      <w:pPr>
        <w:rPr>
          <w:rFonts w:asciiTheme="majorEastAsia" w:eastAsiaTheme="majorEastAsia" w:hAnsiTheme="majorEastAsia"/>
          <w:sz w:val="24"/>
          <w:szCs w:val="28"/>
        </w:rPr>
      </w:pPr>
    </w:p>
    <w:sectPr w:rsidR="003245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5"/>
    <w:rsid w:val="00095DAF"/>
    <w:rsid w:val="000A1656"/>
    <w:rsid w:val="000A6FFD"/>
    <w:rsid w:val="000E2016"/>
    <w:rsid w:val="0010117B"/>
    <w:rsid w:val="00120500"/>
    <w:rsid w:val="00130ED9"/>
    <w:rsid w:val="001568B7"/>
    <w:rsid w:val="0018496D"/>
    <w:rsid w:val="001C220B"/>
    <w:rsid w:val="001F2CEA"/>
    <w:rsid w:val="00211E75"/>
    <w:rsid w:val="0025782C"/>
    <w:rsid w:val="002D1021"/>
    <w:rsid w:val="002D7EB5"/>
    <w:rsid w:val="003245CF"/>
    <w:rsid w:val="00330599"/>
    <w:rsid w:val="003B0499"/>
    <w:rsid w:val="003D30B0"/>
    <w:rsid w:val="0044647D"/>
    <w:rsid w:val="00452FA4"/>
    <w:rsid w:val="00494847"/>
    <w:rsid w:val="004A04E0"/>
    <w:rsid w:val="004B520C"/>
    <w:rsid w:val="005007F2"/>
    <w:rsid w:val="00524644"/>
    <w:rsid w:val="00531A00"/>
    <w:rsid w:val="0054104C"/>
    <w:rsid w:val="00576CBC"/>
    <w:rsid w:val="00580B6A"/>
    <w:rsid w:val="005915FE"/>
    <w:rsid w:val="005A036A"/>
    <w:rsid w:val="005B2037"/>
    <w:rsid w:val="00604A9B"/>
    <w:rsid w:val="006050D3"/>
    <w:rsid w:val="00606610"/>
    <w:rsid w:val="006265B2"/>
    <w:rsid w:val="006269CF"/>
    <w:rsid w:val="00640848"/>
    <w:rsid w:val="00644D39"/>
    <w:rsid w:val="00656092"/>
    <w:rsid w:val="006579BF"/>
    <w:rsid w:val="006D0FB5"/>
    <w:rsid w:val="006E0DE4"/>
    <w:rsid w:val="00735F50"/>
    <w:rsid w:val="00772837"/>
    <w:rsid w:val="00786CC8"/>
    <w:rsid w:val="008272F6"/>
    <w:rsid w:val="008D2385"/>
    <w:rsid w:val="00956636"/>
    <w:rsid w:val="009F7E55"/>
    <w:rsid w:val="00A21018"/>
    <w:rsid w:val="00A30C2D"/>
    <w:rsid w:val="00AB1D4A"/>
    <w:rsid w:val="00AC55C0"/>
    <w:rsid w:val="00AD3F95"/>
    <w:rsid w:val="00AF3D4D"/>
    <w:rsid w:val="00AF7005"/>
    <w:rsid w:val="00B2519D"/>
    <w:rsid w:val="00B35596"/>
    <w:rsid w:val="00B878F3"/>
    <w:rsid w:val="00B94B81"/>
    <w:rsid w:val="00BC2CF4"/>
    <w:rsid w:val="00BC3A7A"/>
    <w:rsid w:val="00BE3697"/>
    <w:rsid w:val="00C83228"/>
    <w:rsid w:val="00C92BC7"/>
    <w:rsid w:val="00CA3C87"/>
    <w:rsid w:val="00D1295E"/>
    <w:rsid w:val="00D677C8"/>
    <w:rsid w:val="00D75D29"/>
    <w:rsid w:val="00D92ADD"/>
    <w:rsid w:val="00DA7B0D"/>
    <w:rsid w:val="00DB2FF9"/>
    <w:rsid w:val="00DC687E"/>
    <w:rsid w:val="00DE7D18"/>
    <w:rsid w:val="00DF5D94"/>
    <w:rsid w:val="00E06915"/>
    <w:rsid w:val="00E24635"/>
    <w:rsid w:val="00E25576"/>
    <w:rsid w:val="00E9450A"/>
    <w:rsid w:val="00ED54BD"/>
    <w:rsid w:val="00EE5B21"/>
    <w:rsid w:val="00F13DE3"/>
    <w:rsid w:val="00F679F8"/>
    <w:rsid w:val="00FA365D"/>
    <w:rsid w:val="00FB465F"/>
    <w:rsid w:val="00FB57A1"/>
    <w:rsid w:val="00FD2206"/>
    <w:rsid w:val="00FF1C97"/>
    <w:rsid w:val="01C94161"/>
    <w:rsid w:val="3D3C7A50"/>
    <w:rsid w:val="420F7770"/>
    <w:rsid w:val="6C4C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BAEEA-C2EF-4706-9324-0502E703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18</cp:revision>
  <cp:lastPrinted>2018-10-24T12:59:00Z</cp:lastPrinted>
  <dcterms:created xsi:type="dcterms:W3CDTF">2018-06-08T07:06:00Z</dcterms:created>
  <dcterms:modified xsi:type="dcterms:W3CDTF">2022-02-15T01:40:00Z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DFBEDA3AA31E4EC8AB7A208CC854E50F</vt:lpwstr>
  </property>
</Properties>
</file>