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85D" w:rsidRDefault="00F77C44">
      <w:pPr>
        <w:jc w:val="center"/>
        <w:rPr>
          <w:sz w:val="40"/>
          <w:szCs w:val="44"/>
        </w:rPr>
      </w:pPr>
      <w:r>
        <w:rPr>
          <w:rFonts w:hint="eastAsia"/>
          <w:sz w:val="40"/>
          <w:szCs w:val="44"/>
        </w:rPr>
        <w:t>导师简介</w:t>
      </w:r>
    </w:p>
    <w:tbl>
      <w:tblPr>
        <w:tblStyle w:val="a9"/>
        <w:tblW w:w="10719" w:type="dxa"/>
        <w:jc w:val="center"/>
        <w:tblLayout w:type="fixed"/>
        <w:tblLook w:val="04A0" w:firstRow="1" w:lastRow="0" w:firstColumn="1" w:lastColumn="0" w:noHBand="0" w:noVBand="1"/>
      </w:tblPr>
      <w:tblGrid>
        <w:gridCol w:w="1794"/>
        <w:gridCol w:w="1486"/>
        <w:gridCol w:w="3202"/>
        <w:gridCol w:w="1360"/>
        <w:gridCol w:w="2877"/>
      </w:tblGrid>
      <w:tr w:rsidR="00FE585D">
        <w:trPr>
          <w:jc w:val="center"/>
        </w:trPr>
        <w:tc>
          <w:tcPr>
            <w:tcW w:w="1794" w:type="dxa"/>
            <w:vMerge w:val="restart"/>
          </w:tcPr>
          <w:p w:rsidR="00FE585D" w:rsidRDefault="00F77C44">
            <w:r>
              <w:rPr>
                <w:noProof/>
              </w:rPr>
              <w:drawing>
                <wp:inline distT="0" distB="0" distL="114300" distR="114300">
                  <wp:extent cx="1196975" cy="1163320"/>
                  <wp:effectExtent l="0" t="0" r="6985" b="10160"/>
                  <wp:docPr id="1" name="图片 1" descr="微信图片_20210519104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519104006"/>
                          <pic:cNvPicPr>
                            <a:picLocks noChangeAspect="1"/>
                          </pic:cNvPicPr>
                        </pic:nvPicPr>
                        <pic:blipFill>
                          <a:blip r:embed="rId6"/>
                          <a:stretch>
                            <a:fillRect/>
                          </a:stretch>
                        </pic:blipFill>
                        <pic:spPr>
                          <a:xfrm>
                            <a:off x="0" y="0"/>
                            <a:ext cx="1196975" cy="1163320"/>
                          </a:xfrm>
                          <a:prstGeom prst="rect">
                            <a:avLst/>
                          </a:prstGeom>
                        </pic:spPr>
                      </pic:pic>
                    </a:graphicData>
                  </a:graphic>
                </wp:inline>
              </w:drawing>
            </w:r>
          </w:p>
        </w:tc>
        <w:tc>
          <w:tcPr>
            <w:tcW w:w="1486" w:type="dxa"/>
            <w:vAlign w:val="center"/>
          </w:tcPr>
          <w:p w:rsidR="00FE585D" w:rsidRDefault="00F77C44">
            <w:pPr>
              <w:rPr>
                <w:rFonts w:ascii="宋体" w:eastAsia="宋体" w:hAnsi="宋体"/>
                <w:sz w:val="28"/>
                <w:szCs w:val="28"/>
              </w:rPr>
            </w:pPr>
            <w:r>
              <w:rPr>
                <w:rFonts w:ascii="宋体" w:eastAsia="宋体" w:hAnsi="宋体" w:hint="eastAsia"/>
                <w:sz w:val="28"/>
                <w:szCs w:val="28"/>
              </w:rPr>
              <w:t>姓名</w:t>
            </w:r>
          </w:p>
        </w:tc>
        <w:tc>
          <w:tcPr>
            <w:tcW w:w="3202" w:type="dxa"/>
            <w:vAlign w:val="center"/>
          </w:tcPr>
          <w:p w:rsidR="00FE585D" w:rsidRDefault="00F77C44">
            <w:pPr>
              <w:rPr>
                <w:rFonts w:ascii="宋体" w:eastAsia="宋体" w:hAnsi="宋体"/>
                <w:sz w:val="24"/>
              </w:rPr>
            </w:pPr>
            <w:r>
              <w:rPr>
                <w:rFonts w:ascii="宋体" w:eastAsia="宋体" w:hAnsi="宋体" w:hint="eastAsia"/>
                <w:sz w:val="24"/>
              </w:rPr>
              <w:t>侯红平</w:t>
            </w:r>
          </w:p>
        </w:tc>
        <w:tc>
          <w:tcPr>
            <w:tcW w:w="1360" w:type="dxa"/>
            <w:vAlign w:val="center"/>
          </w:tcPr>
          <w:p w:rsidR="00FE585D" w:rsidRDefault="00F77C44">
            <w:pPr>
              <w:rPr>
                <w:rFonts w:ascii="宋体" w:eastAsia="宋体" w:hAnsi="宋体"/>
                <w:sz w:val="28"/>
                <w:szCs w:val="28"/>
              </w:rPr>
            </w:pPr>
            <w:r>
              <w:rPr>
                <w:rFonts w:ascii="宋体" w:eastAsia="宋体" w:hAnsi="宋体" w:hint="eastAsia"/>
                <w:sz w:val="28"/>
                <w:szCs w:val="28"/>
              </w:rPr>
              <w:t>性别</w:t>
            </w:r>
          </w:p>
        </w:tc>
        <w:tc>
          <w:tcPr>
            <w:tcW w:w="2877" w:type="dxa"/>
            <w:vAlign w:val="center"/>
          </w:tcPr>
          <w:p w:rsidR="00FE585D" w:rsidRDefault="00F77C44">
            <w:pPr>
              <w:rPr>
                <w:rFonts w:ascii="宋体" w:eastAsia="宋体" w:hAnsi="宋体"/>
                <w:sz w:val="24"/>
              </w:rPr>
            </w:pPr>
            <w:r>
              <w:rPr>
                <w:rFonts w:ascii="宋体" w:eastAsia="宋体" w:hAnsi="宋体" w:hint="eastAsia"/>
                <w:sz w:val="24"/>
              </w:rPr>
              <w:t>女</w:t>
            </w:r>
          </w:p>
        </w:tc>
      </w:tr>
      <w:tr w:rsidR="00FE585D">
        <w:trPr>
          <w:jc w:val="center"/>
        </w:trPr>
        <w:tc>
          <w:tcPr>
            <w:tcW w:w="1794" w:type="dxa"/>
            <w:vMerge/>
          </w:tcPr>
          <w:p w:rsidR="00FE585D" w:rsidRDefault="00FE585D">
            <w:pPr>
              <w:spacing w:line="360" w:lineRule="auto"/>
              <w:rPr>
                <w:rFonts w:asciiTheme="majorEastAsia" w:eastAsiaTheme="majorEastAsia" w:hAnsiTheme="majorEastAsia"/>
                <w:sz w:val="28"/>
                <w:szCs w:val="28"/>
              </w:rPr>
            </w:pPr>
          </w:p>
        </w:tc>
        <w:tc>
          <w:tcPr>
            <w:tcW w:w="1486" w:type="dxa"/>
            <w:vAlign w:val="center"/>
          </w:tcPr>
          <w:p w:rsidR="00FE585D" w:rsidRDefault="00F77C44">
            <w:pPr>
              <w:rPr>
                <w:rFonts w:ascii="宋体" w:eastAsia="宋体" w:hAnsi="宋体"/>
                <w:sz w:val="28"/>
                <w:szCs w:val="28"/>
              </w:rPr>
            </w:pPr>
            <w:r>
              <w:rPr>
                <w:rFonts w:ascii="宋体" w:eastAsia="宋体" w:hAnsi="宋体" w:hint="eastAsia"/>
                <w:sz w:val="28"/>
                <w:szCs w:val="28"/>
              </w:rPr>
              <w:t>学历</w:t>
            </w:r>
          </w:p>
        </w:tc>
        <w:tc>
          <w:tcPr>
            <w:tcW w:w="3202" w:type="dxa"/>
            <w:vAlign w:val="center"/>
          </w:tcPr>
          <w:p w:rsidR="00FE585D" w:rsidRDefault="00F77C44">
            <w:pPr>
              <w:rPr>
                <w:rFonts w:ascii="宋体" w:eastAsia="宋体" w:hAnsi="宋体"/>
                <w:sz w:val="24"/>
              </w:rPr>
            </w:pPr>
            <w:r>
              <w:rPr>
                <w:rFonts w:ascii="宋体" w:eastAsia="宋体" w:hAnsi="宋体" w:hint="eastAsia"/>
                <w:sz w:val="24"/>
              </w:rPr>
              <w:t>博士研究生</w:t>
            </w:r>
          </w:p>
        </w:tc>
        <w:tc>
          <w:tcPr>
            <w:tcW w:w="1360" w:type="dxa"/>
            <w:vAlign w:val="center"/>
          </w:tcPr>
          <w:p w:rsidR="00FE585D" w:rsidRDefault="00F77C44">
            <w:pPr>
              <w:rPr>
                <w:rFonts w:ascii="宋体" w:eastAsia="宋体" w:hAnsi="宋体"/>
                <w:sz w:val="28"/>
                <w:szCs w:val="28"/>
              </w:rPr>
            </w:pPr>
            <w:r>
              <w:rPr>
                <w:rFonts w:ascii="宋体" w:eastAsia="宋体" w:hAnsi="宋体" w:hint="eastAsia"/>
                <w:sz w:val="28"/>
                <w:szCs w:val="28"/>
              </w:rPr>
              <w:t>职称</w:t>
            </w:r>
          </w:p>
        </w:tc>
        <w:tc>
          <w:tcPr>
            <w:tcW w:w="2877" w:type="dxa"/>
            <w:vAlign w:val="center"/>
          </w:tcPr>
          <w:p w:rsidR="00FE585D" w:rsidRDefault="00F77C44">
            <w:pPr>
              <w:rPr>
                <w:rFonts w:ascii="宋体" w:eastAsia="宋体" w:hAnsi="宋体"/>
                <w:sz w:val="24"/>
              </w:rPr>
            </w:pPr>
            <w:r>
              <w:rPr>
                <w:rFonts w:ascii="宋体" w:eastAsia="宋体" w:hAnsi="宋体" w:hint="eastAsia"/>
                <w:sz w:val="24"/>
              </w:rPr>
              <w:t>副高</w:t>
            </w:r>
          </w:p>
        </w:tc>
      </w:tr>
      <w:tr w:rsidR="00FE585D">
        <w:trPr>
          <w:jc w:val="center"/>
        </w:trPr>
        <w:tc>
          <w:tcPr>
            <w:tcW w:w="1794" w:type="dxa"/>
            <w:vMerge/>
          </w:tcPr>
          <w:p w:rsidR="00FE585D" w:rsidRDefault="00FE585D">
            <w:pPr>
              <w:spacing w:line="360" w:lineRule="auto"/>
              <w:rPr>
                <w:rFonts w:asciiTheme="majorEastAsia" w:eastAsiaTheme="majorEastAsia" w:hAnsiTheme="majorEastAsia"/>
                <w:sz w:val="28"/>
                <w:szCs w:val="28"/>
              </w:rPr>
            </w:pPr>
          </w:p>
        </w:tc>
        <w:tc>
          <w:tcPr>
            <w:tcW w:w="1486" w:type="dxa"/>
            <w:vAlign w:val="center"/>
          </w:tcPr>
          <w:p w:rsidR="00FE585D" w:rsidRDefault="00F77C44">
            <w:pPr>
              <w:rPr>
                <w:rFonts w:ascii="宋体" w:eastAsia="宋体" w:hAnsi="宋体"/>
                <w:sz w:val="28"/>
                <w:szCs w:val="28"/>
              </w:rPr>
            </w:pPr>
            <w:r>
              <w:rPr>
                <w:rFonts w:ascii="宋体" w:eastAsia="宋体" w:hAnsi="宋体" w:hint="eastAsia"/>
                <w:sz w:val="28"/>
                <w:szCs w:val="28"/>
              </w:rPr>
              <w:t>导师类别</w:t>
            </w:r>
          </w:p>
        </w:tc>
        <w:tc>
          <w:tcPr>
            <w:tcW w:w="3202" w:type="dxa"/>
            <w:vAlign w:val="center"/>
          </w:tcPr>
          <w:p w:rsidR="00FE585D" w:rsidRDefault="00F77C44">
            <w:pPr>
              <w:rPr>
                <w:rFonts w:ascii="宋体" w:eastAsia="宋体" w:hAnsi="宋体"/>
                <w:sz w:val="24"/>
              </w:rPr>
            </w:pPr>
            <w:r>
              <w:rPr>
                <w:rFonts w:ascii="宋体" w:eastAsia="宋体" w:hAnsi="宋体" w:hint="eastAsia"/>
                <w:sz w:val="24"/>
              </w:rPr>
              <w:t>硕士生导师</w:t>
            </w:r>
          </w:p>
        </w:tc>
        <w:tc>
          <w:tcPr>
            <w:tcW w:w="1360" w:type="dxa"/>
            <w:vAlign w:val="center"/>
          </w:tcPr>
          <w:p w:rsidR="00FE585D" w:rsidRDefault="00F77C44">
            <w:pPr>
              <w:rPr>
                <w:rFonts w:ascii="宋体" w:eastAsia="宋体" w:hAnsi="宋体"/>
                <w:sz w:val="28"/>
                <w:szCs w:val="28"/>
              </w:rPr>
            </w:pPr>
            <w:r>
              <w:rPr>
                <w:rFonts w:ascii="宋体" w:eastAsia="宋体" w:hAnsi="宋体" w:hint="eastAsia"/>
                <w:sz w:val="28"/>
                <w:szCs w:val="28"/>
              </w:rPr>
              <w:t>所属部门</w:t>
            </w:r>
          </w:p>
        </w:tc>
        <w:tc>
          <w:tcPr>
            <w:tcW w:w="2877" w:type="dxa"/>
            <w:vAlign w:val="center"/>
          </w:tcPr>
          <w:p w:rsidR="00FE585D" w:rsidRDefault="00F77C44">
            <w:pPr>
              <w:rPr>
                <w:rFonts w:ascii="宋体" w:eastAsia="宋体" w:hAnsi="宋体"/>
                <w:szCs w:val="20"/>
              </w:rPr>
            </w:pPr>
            <w:r>
              <w:rPr>
                <w:rFonts w:ascii="宋体" w:eastAsia="宋体" w:hAnsi="宋体" w:hint="eastAsia"/>
                <w:szCs w:val="20"/>
              </w:rPr>
              <w:t>雾化吸入制剂研究中心</w:t>
            </w:r>
          </w:p>
        </w:tc>
      </w:tr>
      <w:tr w:rsidR="00FE585D">
        <w:trPr>
          <w:jc w:val="center"/>
        </w:trPr>
        <w:tc>
          <w:tcPr>
            <w:tcW w:w="1794" w:type="dxa"/>
            <w:vMerge/>
          </w:tcPr>
          <w:p w:rsidR="00FE585D" w:rsidRDefault="00FE585D">
            <w:pPr>
              <w:spacing w:line="360" w:lineRule="auto"/>
              <w:rPr>
                <w:rFonts w:asciiTheme="majorEastAsia" w:eastAsiaTheme="majorEastAsia" w:hAnsiTheme="majorEastAsia"/>
                <w:sz w:val="28"/>
                <w:szCs w:val="28"/>
              </w:rPr>
            </w:pPr>
          </w:p>
        </w:tc>
        <w:tc>
          <w:tcPr>
            <w:tcW w:w="1486" w:type="dxa"/>
            <w:vAlign w:val="center"/>
          </w:tcPr>
          <w:p w:rsidR="00FE585D" w:rsidRDefault="00F77C44">
            <w:pPr>
              <w:rPr>
                <w:rFonts w:ascii="宋体" w:eastAsia="宋体" w:hAnsi="宋体"/>
                <w:sz w:val="28"/>
                <w:szCs w:val="28"/>
              </w:rPr>
            </w:pPr>
            <w:r>
              <w:rPr>
                <w:rFonts w:ascii="宋体" w:eastAsia="宋体" w:hAnsi="宋体" w:hint="eastAsia"/>
                <w:sz w:val="28"/>
                <w:szCs w:val="28"/>
              </w:rPr>
              <w:t>研究方向</w:t>
            </w:r>
          </w:p>
        </w:tc>
        <w:tc>
          <w:tcPr>
            <w:tcW w:w="3202" w:type="dxa"/>
            <w:vAlign w:val="center"/>
          </w:tcPr>
          <w:p w:rsidR="00FE585D" w:rsidRDefault="00F77C44">
            <w:pPr>
              <w:rPr>
                <w:rFonts w:ascii="宋体" w:eastAsia="宋体" w:hAnsi="宋体"/>
                <w:sz w:val="28"/>
                <w:szCs w:val="28"/>
              </w:rPr>
            </w:pPr>
            <w:r>
              <w:rPr>
                <w:rFonts w:ascii="宋体" w:eastAsia="宋体" w:hAnsi="宋体" w:hint="eastAsia"/>
                <w:szCs w:val="21"/>
              </w:rPr>
              <w:t>慢性疾病的新药研发及机制研究</w:t>
            </w:r>
          </w:p>
        </w:tc>
        <w:tc>
          <w:tcPr>
            <w:tcW w:w="1360" w:type="dxa"/>
            <w:vAlign w:val="center"/>
          </w:tcPr>
          <w:p w:rsidR="00FE585D" w:rsidRDefault="00F77C44">
            <w:pPr>
              <w:rPr>
                <w:rFonts w:ascii="宋体" w:eastAsia="宋体" w:hAnsi="宋体"/>
                <w:sz w:val="28"/>
                <w:szCs w:val="28"/>
              </w:rPr>
            </w:pPr>
            <w:r>
              <w:rPr>
                <w:rFonts w:ascii="宋体" w:eastAsia="宋体" w:hAnsi="宋体" w:hint="eastAsia"/>
                <w:sz w:val="28"/>
                <w:szCs w:val="28"/>
              </w:rPr>
              <w:t>电子邮箱</w:t>
            </w:r>
          </w:p>
        </w:tc>
        <w:tc>
          <w:tcPr>
            <w:tcW w:w="2877" w:type="dxa"/>
            <w:vAlign w:val="center"/>
          </w:tcPr>
          <w:p w:rsidR="00FE585D" w:rsidRDefault="00F77C44">
            <w:pPr>
              <w:rPr>
                <w:rFonts w:ascii="宋体" w:eastAsia="宋体" w:hAnsi="宋体"/>
                <w:sz w:val="24"/>
              </w:rPr>
            </w:pPr>
            <w:r>
              <w:rPr>
                <w:rFonts w:ascii="宋体" w:eastAsia="宋体" w:hAnsi="宋体" w:hint="eastAsia"/>
                <w:sz w:val="24"/>
              </w:rPr>
              <w:t>hphou@icmm.ac.cn</w:t>
            </w:r>
          </w:p>
        </w:tc>
      </w:tr>
      <w:tr w:rsidR="00FE585D">
        <w:trPr>
          <w:trHeight w:val="9022"/>
          <w:jc w:val="center"/>
        </w:trPr>
        <w:tc>
          <w:tcPr>
            <w:tcW w:w="1794" w:type="dxa"/>
          </w:tcPr>
          <w:p w:rsidR="00FE585D" w:rsidRDefault="00F77C44">
            <w:pPr>
              <w:spacing w:line="360" w:lineRule="auto"/>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导师简介</w:t>
            </w:r>
          </w:p>
        </w:tc>
        <w:tc>
          <w:tcPr>
            <w:tcW w:w="8925" w:type="dxa"/>
            <w:gridSpan w:val="4"/>
          </w:tcPr>
          <w:p w:rsidR="00FE585D" w:rsidRDefault="00F77C44">
            <w:pPr>
              <w:widowControl/>
              <w:shd w:val="clear" w:color="auto" w:fill="FFFFFF"/>
              <w:spacing w:line="280" w:lineRule="exact"/>
              <w:ind w:firstLine="363"/>
              <w:rPr>
                <w:rFonts w:ascii="Times New Roman" w:eastAsia="宋体" w:hAnsi="Times New Roman" w:cs="Times New Roman"/>
                <w:color w:val="000000"/>
                <w:kern w:val="0"/>
                <w:sz w:val="24"/>
                <w:szCs w:val="24"/>
                <w:shd w:val="clear" w:color="auto" w:fill="FFFFFF"/>
                <w:lang w:bidi="ar"/>
              </w:rPr>
            </w:pPr>
            <w:r>
              <w:rPr>
                <w:rFonts w:ascii="Times New Roman" w:eastAsia="宋体" w:hAnsi="Times New Roman" w:cs="Times New Roman"/>
                <w:color w:val="000000"/>
                <w:kern w:val="0"/>
                <w:sz w:val="24"/>
                <w:szCs w:val="24"/>
                <w:shd w:val="clear" w:color="auto" w:fill="FFFFFF"/>
                <w:lang w:bidi="ar"/>
              </w:rPr>
              <w:t>侯红平，女，博士，副研究员，硕士生导师，中药研究所雾化吸入制剂研究中心学术秘书和分子毒理学研究室副主任。南开大学医学院和</w:t>
            </w:r>
            <w:r>
              <w:rPr>
                <w:rFonts w:ascii="Times New Roman" w:eastAsia="宋体" w:hAnsi="Times New Roman" w:cs="Times New Roman"/>
                <w:color w:val="000000"/>
                <w:kern w:val="0"/>
                <w:sz w:val="24"/>
                <w:szCs w:val="24"/>
                <w:shd w:val="clear" w:color="auto" w:fill="FFFFFF"/>
                <w:lang w:bidi="ar"/>
              </w:rPr>
              <w:t>301</w:t>
            </w:r>
            <w:r>
              <w:rPr>
                <w:rFonts w:ascii="Times New Roman" w:eastAsia="宋体" w:hAnsi="Times New Roman" w:cs="Times New Roman"/>
                <w:color w:val="000000"/>
                <w:kern w:val="0"/>
                <w:sz w:val="24"/>
                <w:szCs w:val="24"/>
                <w:shd w:val="clear" w:color="auto" w:fill="FFFFFF"/>
                <w:lang w:bidi="ar"/>
              </w:rPr>
              <w:t>医院联合培养，获生物化学与分子生物学博士学位。作为课题负责人共承担</w:t>
            </w:r>
            <w:r>
              <w:rPr>
                <w:rFonts w:ascii="Times New Roman" w:eastAsia="宋体" w:hAnsi="Times New Roman" w:cs="Times New Roman"/>
                <w:color w:val="000000"/>
                <w:kern w:val="0"/>
                <w:sz w:val="24"/>
                <w:szCs w:val="24"/>
                <w:shd w:val="clear" w:color="auto" w:fill="FFFFFF"/>
                <w:lang w:bidi="ar"/>
              </w:rPr>
              <w:t>2</w:t>
            </w:r>
            <w:r>
              <w:rPr>
                <w:rFonts w:ascii="Times New Roman" w:eastAsia="宋体" w:hAnsi="Times New Roman" w:cs="Times New Roman"/>
                <w:color w:val="000000"/>
                <w:kern w:val="0"/>
                <w:sz w:val="24"/>
                <w:szCs w:val="24"/>
                <w:shd w:val="clear" w:color="auto" w:fill="FFFFFF"/>
                <w:lang w:bidi="ar"/>
              </w:rPr>
              <w:t>项国家项目，</w:t>
            </w:r>
            <w:r>
              <w:rPr>
                <w:rFonts w:ascii="Times New Roman" w:eastAsia="宋体" w:hAnsi="Times New Roman" w:cs="Times New Roman"/>
                <w:color w:val="000000"/>
                <w:kern w:val="0"/>
                <w:sz w:val="24"/>
                <w:szCs w:val="24"/>
                <w:shd w:val="clear" w:color="auto" w:fill="FFFFFF"/>
                <w:lang w:bidi="ar"/>
              </w:rPr>
              <w:t>1</w:t>
            </w:r>
            <w:r>
              <w:rPr>
                <w:rFonts w:ascii="Times New Roman" w:eastAsia="宋体" w:hAnsi="Times New Roman" w:cs="Times New Roman"/>
                <w:color w:val="000000"/>
                <w:kern w:val="0"/>
                <w:sz w:val="24"/>
                <w:szCs w:val="24"/>
                <w:shd w:val="clear" w:color="auto" w:fill="FFFFFF"/>
                <w:lang w:bidi="ar"/>
              </w:rPr>
              <w:t>项国家自然科学基金，</w:t>
            </w:r>
            <w:r>
              <w:rPr>
                <w:rFonts w:ascii="Times New Roman" w:eastAsia="宋体" w:hAnsi="Times New Roman" w:cs="Times New Roman"/>
                <w:color w:val="000000"/>
                <w:kern w:val="0"/>
                <w:sz w:val="24"/>
                <w:szCs w:val="24"/>
                <w:shd w:val="clear" w:color="auto" w:fill="FFFFFF"/>
                <w:lang w:bidi="ar"/>
              </w:rPr>
              <w:t>1</w:t>
            </w:r>
            <w:r>
              <w:rPr>
                <w:rFonts w:ascii="Times New Roman" w:eastAsia="宋体" w:hAnsi="Times New Roman" w:cs="Times New Roman"/>
                <w:color w:val="000000"/>
                <w:kern w:val="0"/>
                <w:sz w:val="24"/>
                <w:szCs w:val="24"/>
                <w:shd w:val="clear" w:color="auto" w:fill="FFFFFF"/>
                <w:lang w:bidi="ar"/>
              </w:rPr>
              <w:t>项北京市项目，多项院级和所级课题，参与多项国家课题和药</w:t>
            </w:r>
            <w:proofErr w:type="gramStart"/>
            <w:r>
              <w:rPr>
                <w:rFonts w:ascii="Times New Roman" w:eastAsia="宋体" w:hAnsi="Times New Roman" w:cs="Times New Roman"/>
                <w:color w:val="000000"/>
                <w:kern w:val="0"/>
                <w:sz w:val="24"/>
                <w:szCs w:val="24"/>
                <w:shd w:val="clear" w:color="auto" w:fill="FFFFFF"/>
                <w:lang w:bidi="ar"/>
              </w:rPr>
              <w:t>监局软课题</w:t>
            </w:r>
            <w:proofErr w:type="gramEnd"/>
            <w:r>
              <w:rPr>
                <w:rFonts w:ascii="Times New Roman" w:eastAsia="宋体" w:hAnsi="Times New Roman" w:cs="Times New Roman"/>
                <w:color w:val="000000"/>
                <w:kern w:val="0"/>
                <w:sz w:val="24"/>
                <w:szCs w:val="24"/>
                <w:shd w:val="clear" w:color="auto" w:fill="FFFFFF"/>
                <w:lang w:bidi="ar"/>
              </w:rPr>
              <w:t>，在</w:t>
            </w:r>
            <w:r>
              <w:rPr>
                <w:rFonts w:ascii="Times New Roman" w:eastAsia="宋体" w:hAnsi="Times New Roman" w:cs="Times New Roman"/>
                <w:color w:val="000000"/>
                <w:kern w:val="0"/>
                <w:sz w:val="24"/>
                <w:szCs w:val="24"/>
                <w:shd w:val="clear" w:color="auto" w:fill="FFFFFF"/>
                <w:lang w:bidi="ar"/>
              </w:rPr>
              <w:t>Biomedicine &amp; Pharmacotherapy, Molecular Neurobiology</w:t>
            </w:r>
            <w:r>
              <w:rPr>
                <w:rFonts w:ascii="Times New Roman" w:eastAsia="宋体" w:hAnsi="Times New Roman" w:cs="Times New Roman"/>
                <w:color w:val="000000"/>
                <w:kern w:val="0"/>
                <w:sz w:val="24"/>
                <w:szCs w:val="24"/>
                <w:shd w:val="clear" w:color="auto" w:fill="FFFFFF"/>
                <w:lang w:bidi="ar"/>
              </w:rPr>
              <w:t>等国际学术期刊发表论文数篇，单篇最高影响因子＞</w:t>
            </w:r>
            <w:r>
              <w:rPr>
                <w:rFonts w:ascii="Times New Roman" w:eastAsia="宋体" w:hAnsi="Times New Roman" w:cs="Times New Roman"/>
                <w:color w:val="000000"/>
                <w:kern w:val="0"/>
                <w:sz w:val="24"/>
                <w:szCs w:val="24"/>
                <w:shd w:val="clear" w:color="auto" w:fill="FFFFFF"/>
                <w:lang w:bidi="ar"/>
              </w:rPr>
              <w:t>6</w:t>
            </w:r>
            <w:r>
              <w:rPr>
                <w:rFonts w:ascii="Times New Roman" w:eastAsia="宋体" w:hAnsi="Times New Roman" w:cs="Times New Roman"/>
                <w:color w:val="000000"/>
                <w:kern w:val="0"/>
                <w:sz w:val="24"/>
                <w:szCs w:val="24"/>
                <w:shd w:val="clear" w:color="auto" w:fill="FFFFFF"/>
                <w:lang w:bidi="ar"/>
              </w:rPr>
              <w:t>，单篇引用率已达百余次。兼任中国毒理学会中药与天然药物毒理专</w:t>
            </w:r>
            <w:r>
              <w:rPr>
                <w:rFonts w:ascii="Times New Roman" w:eastAsia="宋体" w:hAnsi="Times New Roman" w:cs="Times New Roman"/>
                <w:color w:val="000000"/>
                <w:kern w:val="0"/>
                <w:sz w:val="24"/>
                <w:szCs w:val="24"/>
                <w:shd w:val="clear" w:color="auto" w:fill="FFFFFF"/>
                <w:lang w:bidi="ar"/>
              </w:rPr>
              <w:t>业委员会青年委员，中华中医药学会中成药分会委员等职务。主要研究方向：慢性疾病尤其是慢性阻塞性肺疾病和骨质疏松等疾病的发病机制，及其中医药在治疗这些疾病方面的优势和特色。</w:t>
            </w:r>
          </w:p>
          <w:p w:rsidR="00FE585D" w:rsidRDefault="00F77C44">
            <w:pPr>
              <w:widowControl/>
              <w:shd w:val="clear" w:color="auto" w:fill="FFFFFF"/>
              <w:spacing w:line="280" w:lineRule="exact"/>
              <w:ind w:firstLine="360"/>
              <w:rPr>
                <w:rFonts w:ascii="Times New Roman" w:eastAsia="宋体" w:hAnsi="Times New Roman" w:cs="Times New Roman"/>
                <w:b/>
                <w:bCs/>
                <w:color w:val="000000"/>
                <w:kern w:val="0"/>
                <w:sz w:val="24"/>
                <w:szCs w:val="24"/>
                <w:shd w:val="clear" w:color="auto" w:fill="FFFFFF"/>
                <w:lang w:bidi="ar"/>
              </w:rPr>
            </w:pPr>
            <w:r>
              <w:rPr>
                <w:rFonts w:ascii="Times New Roman" w:eastAsia="宋体" w:hAnsi="Times New Roman" w:cs="Times New Roman"/>
                <w:b/>
                <w:bCs/>
                <w:color w:val="000000"/>
                <w:kern w:val="0"/>
                <w:sz w:val="24"/>
                <w:szCs w:val="24"/>
                <w:shd w:val="clear" w:color="auto" w:fill="FFFFFF"/>
                <w:lang w:bidi="ar"/>
              </w:rPr>
              <w:t>承担课题：</w:t>
            </w:r>
          </w:p>
          <w:p w:rsidR="00FE585D" w:rsidRDefault="00F77C44">
            <w:pPr>
              <w:numPr>
                <w:ilvl w:val="0"/>
                <w:numId w:val="1"/>
              </w:numPr>
              <w:tabs>
                <w:tab w:val="left" w:pos="2940"/>
              </w:tabs>
              <w:spacing w:line="280" w:lineRule="exact"/>
              <w:rPr>
                <w:rFonts w:ascii="Times New Roman" w:eastAsia="宋体" w:hAnsi="Times New Roman" w:cs="Times New Roman"/>
                <w:kern w:val="0"/>
                <w:sz w:val="24"/>
                <w:szCs w:val="24"/>
              </w:rPr>
            </w:pPr>
            <w:r>
              <w:rPr>
                <w:rFonts w:ascii="Times New Roman" w:eastAsia="宋体" w:hAnsi="Times New Roman" w:cs="Times New Roman"/>
                <w:kern w:val="0"/>
                <w:sz w:val="24"/>
                <w:szCs w:val="24"/>
              </w:rPr>
              <w:t>经典藏药如意珍宝片、白脉软膏代谢和毒理学研究示范，国家重点研发，</w:t>
            </w:r>
            <w:r>
              <w:rPr>
                <w:rFonts w:ascii="Times New Roman" w:eastAsia="宋体" w:hAnsi="Times New Roman" w:cs="Times New Roman"/>
                <w:kern w:val="0"/>
                <w:sz w:val="24"/>
                <w:szCs w:val="24"/>
              </w:rPr>
              <w:t>2019YFC1712403</w:t>
            </w:r>
            <w:r>
              <w:rPr>
                <w:rFonts w:ascii="Times New Roman" w:eastAsia="宋体" w:hAnsi="Times New Roman" w:cs="Times New Roman"/>
                <w:kern w:val="0"/>
                <w:sz w:val="24"/>
                <w:szCs w:val="24"/>
              </w:rPr>
              <w:t>；</w:t>
            </w:r>
          </w:p>
          <w:p w:rsidR="00FE585D" w:rsidRDefault="00F77C44">
            <w:pPr>
              <w:numPr>
                <w:ilvl w:val="0"/>
                <w:numId w:val="1"/>
              </w:numPr>
              <w:tabs>
                <w:tab w:val="left" w:pos="2940"/>
              </w:tabs>
              <w:spacing w:line="280" w:lineRule="exact"/>
              <w:rPr>
                <w:rFonts w:ascii="Times New Roman" w:eastAsia="宋体" w:hAnsi="Times New Roman" w:cs="Times New Roman"/>
                <w:kern w:val="0"/>
                <w:sz w:val="24"/>
                <w:szCs w:val="24"/>
              </w:rPr>
            </w:pPr>
            <w:r>
              <w:rPr>
                <w:rFonts w:ascii="Times New Roman" w:eastAsia="宋体" w:hAnsi="Times New Roman" w:cs="Times New Roman"/>
                <w:kern w:val="0"/>
                <w:sz w:val="24"/>
                <w:szCs w:val="24"/>
              </w:rPr>
              <w:t>基于</w:t>
            </w:r>
            <w:r>
              <w:rPr>
                <w:rFonts w:ascii="Times New Roman" w:eastAsia="宋体" w:hAnsi="Times New Roman" w:cs="Times New Roman"/>
                <w:kern w:val="0"/>
                <w:sz w:val="24"/>
                <w:szCs w:val="24"/>
              </w:rPr>
              <w:t>PINK1/</w:t>
            </w:r>
            <w:proofErr w:type="spellStart"/>
            <w:r>
              <w:rPr>
                <w:rFonts w:ascii="Times New Roman" w:eastAsia="宋体" w:hAnsi="Times New Roman" w:cs="Times New Roman"/>
                <w:kern w:val="0"/>
                <w:sz w:val="24"/>
                <w:szCs w:val="24"/>
              </w:rPr>
              <w:t>Parkin</w:t>
            </w:r>
            <w:proofErr w:type="spellEnd"/>
            <w:proofErr w:type="gramStart"/>
            <w:r>
              <w:rPr>
                <w:rFonts w:ascii="Times New Roman" w:eastAsia="宋体" w:hAnsi="Times New Roman" w:cs="Times New Roman"/>
                <w:kern w:val="0"/>
                <w:sz w:val="24"/>
                <w:szCs w:val="24"/>
              </w:rPr>
              <w:t>介</w:t>
            </w:r>
            <w:proofErr w:type="gramEnd"/>
            <w:r>
              <w:rPr>
                <w:rFonts w:ascii="Times New Roman" w:eastAsia="宋体" w:hAnsi="Times New Roman" w:cs="Times New Roman"/>
                <w:kern w:val="0"/>
                <w:sz w:val="24"/>
                <w:szCs w:val="24"/>
              </w:rPr>
              <w:t>导的线粒体自噬动态平衡在痰热清干预慢阻肺的机制研究</w:t>
            </w:r>
            <w:r>
              <w:rPr>
                <w:rFonts w:ascii="Times New Roman" w:eastAsia="宋体" w:hAnsi="Times New Roman" w:cs="Times New Roman"/>
                <w:kern w:val="0"/>
                <w:sz w:val="24"/>
                <w:szCs w:val="24"/>
              </w:rPr>
              <w:t>，国家自然科学青年科学基金项目，</w:t>
            </w:r>
            <w:r>
              <w:rPr>
                <w:rFonts w:ascii="Times New Roman" w:eastAsia="宋体" w:hAnsi="Times New Roman" w:cs="Times New Roman"/>
                <w:kern w:val="0"/>
                <w:sz w:val="24"/>
                <w:szCs w:val="24"/>
              </w:rPr>
              <w:t>8210140280</w:t>
            </w:r>
            <w:r>
              <w:rPr>
                <w:rFonts w:ascii="Times New Roman" w:eastAsia="宋体" w:hAnsi="Times New Roman" w:cs="Times New Roman"/>
                <w:kern w:val="0"/>
                <w:sz w:val="24"/>
                <w:szCs w:val="24"/>
              </w:rPr>
              <w:t>；</w:t>
            </w:r>
          </w:p>
          <w:p w:rsidR="00FE585D" w:rsidRDefault="00F77C44">
            <w:pPr>
              <w:numPr>
                <w:ilvl w:val="0"/>
                <w:numId w:val="1"/>
              </w:numPr>
              <w:tabs>
                <w:tab w:val="left" w:pos="2940"/>
              </w:tabs>
              <w:spacing w:line="280" w:lineRule="exact"/>
              <w:rPr>
                <w:rFonts w:ascii="Times New Roman" w:eastAsia="宋体" w:hAnsi="Times New Roman" w:cs="Times New Roman"/>
                <w:kern w:val="0"/>
                <w:sz w:val="24"/>
                <w:szCs w:val="24"/>
              </w:rPr>
            </w:pPr>
            <w:r>
              <w:rPr>
                <w:rFonts w:ascii="Times New Roman" w:eastAsia="宋体" w:hAnsi="Times New Roman" w:cs="Times New Roman"/>
                <w:kern w:val="0"/>
                <w:sz w:val="24"/>
                <w:szCs w:val="24"/>
              </w:rPr>
              <w:t>痰热清雾化吸入性溶液治疗急性肺损伤的药效学及关键技术研究，首都卫生发展科研专项，首发</w:t>
            </w:r>
            <w:r>
              <w:rPr>
                <w:rFonts w:ascii="Times New Roman" w:eastAsia="宋体" w:hAnsi="Times New Roman" w:cs="Times New Roman"/>
                <w:kern w:val="0"/>
                <w:sz w:val="24"/>
                <w:szCs w:val="24"/>
              </w:rPr>
              <w:t>2018-4-4231</w:t>
            </w:r>
            <w:r>
              <w:rPr>
                <w:rFonts w:ascii="Times New Roman" w:eastAsia="宋体" w:hAnsi="Times New Roman" w:cs="Times New Roman" w:hint="eastAsia"/>
                <w:kern w:val="0"/>
                <w:sz w:val="24"/>
                <w:szCs w:val="24"/>
              </w:rPr>
              <w:t>;</w:t>
            </w:r>
          </w:p>
          <w:p w:rsidR="00FE585D" w:rsidRDefault="00F77C44">
            <w:pPr>
              <w:numPr>
                <w:ilvl w:val="0"/>
                <w:numId w:val="1"/>
              </w:numPr>
              <w:tabs>
                <w:tab w:val="left" w:pos="2940"/>
              </w:tabs>
              <w:spacing w:line="280" w:lineRule="exact"/>
              <w:rPr>
                <w:rFonts w:ascii="Times New Roman" w:eastAsia="宋体" w:hAnsi="Times New Roman" w:cs="Times New Roman"/>
                <w:sz w:val="24"/>
                <w:szCs w:val="24"/>
              </w:rPr>
            </w:pPr>
            <w:r>
              <w:rPr>
                <w:rFonts w:ascii="Times New Roman" w:eastAsia="宋体" w:hAnsi="Times New Roman" w:cs="Times New Roman"/>
                <w:kern w:val="0"/>
                <w:sz w:val="24"/>
                <w:szCs w:val="24"/>
              </w:rPr>
              <w:t>热毒宁雾化吸入溶液，重大新药创制，</w:t>
            </w:r>
            <w:r>
              <w:rPr>
                <w:rFonts w:ascii="Times New Roman" w:eastAsia="宋体" w:hAnsi="Times New Roman" w:cs="Times New Roman"/>
                <w:kern w:val="0"/>
                <w:sz w:val="24"/>
                <w:szCs w:val="24"/>
              </w:rPr>
              <w:t>2017ZX09201002006</w:t>
            </w:r>
            <w:r>
              <w:rPr>
                <w:rFonts w:ascii="Times New Roman" w:eastAsia="宋体" w:hAnsi="Times New Roman" w:cs="Times New Roman" w:hint="eastAsia"/>
                <w:kern w:val="0"/>
                <w:sz w:val="24"/>
                <w:szCs w:val="24"/>
              </w:rPr>
              <w:t>;</w:t>
            </w:r>
          </w:p>
          <w:p w:rsidR="00FE585D" w:rsidRDefault="00F77C44">
            <w:pPr>
              <w:numPr>
                <w:ilvl w:val="0"/>
                <w:numId w:val="1"/>
              </w:numPr>
              <w:tabs>
                <w:tab w:val="left" w:pos="2940"/>
              </w:tabs>
              <w:spacing w:line="280" w:lineRule="exact"/>
              <w:rPr>
                <w:rFonts w:ascii="Times New Roman" w:eastAsia="宋体" w:hAnsi="Times New Roman" w:cs="Times New Roman"/>
                <w:sz w:val="24"/>
                <w:szCs w:val="24"/>
              </w:rPr>
            </w:pPr>
            <w:r>
              <w:rPr>
                <w:rFonts w:ascii="Times New Roman" w:eastAsia="宋体" w:hAnsi="Times New Roman" w:cs="Times New Roman"/>
                <w:kern w:val="0"/>
                <w:sz w:val="24"/>
                <w:szCs w:val="24"/>
              </w:rPr>
              <w:t>基于</w:t>
            </w:r>
            <w:r>
              <w:rPr>
                <w:rFonts w:ascii="Times New Roman" w:eastAsia="宋体" w:hAnsi="Times New Roman" w:cs="Times New Roman"/>
                <w:kern w:val="0"/>
                <w:sz w:val="24"/>
                <w:szCs w:val="24"/>
              </w:rPr>
              <w:t>PINK1/</w:t>
            </w:r>
            <w:proofErr w:type="spellStart"/>
            <w:r>
              <w:rPr>
                <w:rFonts w:ascii="Times New Roman" w:eastAsia="宋体" w:hAnsi="Times New Roman" w:cs="Times New Roman"/>
                <w:kern w:val="0"/>
                <w:sz w:val="24"/>
                <w:szCs w:val="24"/>
              </w:rPr>
              <w:t>Parkin</w:t>
            </w:r>
            <w:proofErr w:type="spellEnd"/>
            <w:proofErr w:type="gramStart"/>
            <w:r>
              <w:rPr>
                <w:rFonts w:ascii="Times New Roman" w:eastAsia="宋体" w:hAnsi="Times New Roman" w:cs="Times New Roman"/>
                <w:kern w:val="0"/>
                <w:sz w:val="24"/>
                <w:szCs w:val="24"/>
              </w:rPr>
              <w:t>介</w:t>
            </w:r>
            <w:proofErr w:type="gramEnd"/>
            <w:r>
              <w:rPr>
                <w:rFonts w:ascii="Times New Roman" w:eastAsia="宋体" w:hAnsi="Times New Roman" w:cs="Times New Roman"/>
                <w:kern w:val="0"/>
                <w:sz w:val="24"/>
                <w:szCs w:val="24"/>
              </w:rPr>
              <w:t>导的线粒体动态平衡在葛根素吸入溶液干预慢阻肺的机制研究，</w:t>
            </w:r>
            <w:proofErr w:type="gramStart"/>
            <w:r>
              <w:rPr>
                <w:rFonts w:ascii="Times New Roman" w:eastAsia="宋体" w:hAnsi="Times New Roman" w:cs="Times New Roman"/>
                <w:kern w:val="0"/>
                <w:sz w:val="24"/>
                <w:szCs w:val="24"/>
              </w:rPr>
              <w:t>院创新</w:t>
            </w:r>
            <w:proofErr w:type="gramEnd"/>
            <w:r>
              <w:rPr>
                <w:rFonts w:ascii="Times New Roman" w:eastAsia="宋体" w:hAnsi="Times New Roman" w:cs="Times New Roman"/>
                <w:kern w:val="0"/>
                <w:sz w:val="24"/>
                <w:szCs w:val="24"/>
              </w:rPr>
              <w:t>课题，</w:t>
            </w:r>
            <w:r>
              <w:rPr>
                <w:rFonts w:ascii="Times New Roman" w:eastAsia="宋体" w:hAnsi="Times New Roman" w:cs="Times New Roman"/>
                <w:kern w:val="0"/>
                <w:sz w:val="24"/>
                <w:szCs w:val="24"/>
              </w:rPr>
              <w:t>ZZ13-YQ-060</w:t>
            </w:r>
            <w:r>
              <w:rPr>
                <w:rFonts w:ascii="Times New Roman" w:eastAsia="宋体" w:hAnsi="Times New Roman" w:cs="Times New Roman" w:hint="eastAsia"/>
                <w:kern w:val="0"/>
                <w:sz w:val="24"/>
                <w:szCs w:val="24"/>
              </w:rPr>
              <w:t>。</w:t>
            </w:r>
          </w:p>
          <w:p w:rsidR="00FE585D" w:rsidRDefault="00F77C44">
            <w:pPr>
              <w:tabs>
                <w:tab w:val="left" w:pos="2940"/>
              </w:tabs>
              <w:spacing w:line="280" w:lineRule="exact"/>
              <w:ind w:left="420"/>
              <w:rPr>
                <w:rFonts w:ascii="Times New Roman" w:eastAsia="宋体" w:hAnsi="Times New Roman" w:cs="Times New Roman"/>
                <w:b/>
                <w:bCs/>
                <w:sz w:val="24"/>
                <w:szCs w:val="24"/>
              </w:rPr>
            </w:pPr>
            <w:r>
              <w:rPr>
                <w:rFonts w:ascii="Times New Roman" w:eastAsia="宋体" w:hAnsi="Times New Roman" w:cs="Times New Roman"/>
                <w:b/>
                <w:bCs/>
                <w:sz w:val="24"/>
                <w:szCs w:val="24"/>
              </w:rPr>
              <w:t>主要发表的文章：</w:t>
            </w:r>
          </w:p>
          <w:p w:rsidR="00FE585D" w:rsidRDefault="00F77C44">
            <w:pPr>
              <w:numPr>
                <w:ilvl w:val="0"/>
                <w:numId w:val="2"/>
              </w:numPr>
              <w:autoSpaceDE w:val="0"/>
              <w:spacing w:line="280" w:lineRule="exact"/>
              <w:rPr>
                <w:rFonts w:ascii="Times New Roman" w:eastAsia="宋体" w:hAnsi="Times New Roman" w:cs="Times New Roman"/>
                <w:kern w:val="0"/>
                <w:sz w:val="24"/>
                <w:szCs w:val="24"/>
              </w:rPr>
            </w:pPr>
            <w:proofErr w:type="spellStart"/>
            <w:r>
              <w:rPr>
                <w:rFonts w:ascii="Times New Roman" w:eastAsia="宋体" w:hAnsi="Times New Roman" w:cs="Times New Roman"/>
                <w:b/>
                <w:bCs/>
                <w:kern w:val="0"/>
                <w:sz w:val="24"/>
                <w:szCs w:val="24"/>
              </w:rPr>
              <w:t>Hou</w:t>
            </w:r>
            <w:proofErr w:type="spellEnd"/>
            <w:r>
              <w:rPr>
                <w:rFonts w:ascii="Times New Roman" w:eastAsia="宋体" w:hAnsi="Times New Roman" w:cs="Times New Roman"/>
                <w:b/>
                <w:bCs/>
                <w:kern w:val="0"/>
                <w:sz w:val="24"/>
                <w:szCs w:val="24"/>
              </w:rPr>
              <w:t xml:space="preserve"> H</w:t>
            </w:r>
            <w:r>
              <w:rPr>
                <w:rFonts w:ascii="Times New Roman" w:eastAsia="宋体" w:hAnsi="Times New Roman" w:cs="Times New Roman"/>
                <w:kern w:val="0"/>
                <w:sz w:val="24"/>
                <w:szCs w:val="24"/>
                <w:vertAlign w:val="superscript"/>
              </w:rPr>
              <w:t>#</w:t>
            </w:r>
            <w:r>
              <w:rPr>
                <w:rFonts w:ascii="Times New Roman" w:eastAsia="宋体" w:hAnsi="Times New Roman" w:cs="Times New Roman"/>
                <w:kern w:val="0"/>
                <w:sz w:val="24"/>
                <w:szCs w:val="24"/>
              </w:rPr>
              <w:t>, Zhang L</w:t>
            </w:r>
            <w:r>
              <w:rPr>
                <w:rFonts w:ascii="Times New Roman" w:eastAsia="宋体" w:hAnsi="Times New Roman" w:cs="Times New Roman"/>
                <w:kern w:val="0"/>
                <w:sz w:val="24"/>
                <w:szCs w:val="24"/>
                <w:vertAlign w:val="superscript"/>
              </w:rPr>
              <w:t>#</w:t>
            </w:r>
            <w:r>
              <w:rPr>
                <w:rFonts w:ascii="Times New Roman" w:eastAsia="宋体" w:hAnsi="Times New Roman" w:cs="Times New Roman"/>
                <w:kern w:val="0"/>
                <w:sz w:val="24"/>
                <w:szCs w:val="24"/>
              </w:rPr>
              <w:t xml:space="preserve">, Ye Z, et al. </w:t>
            </w:r>
            <w:proofErr w:type="spellStart"/>
            <w:r>
              <w:rPr>
                <w:rFonts w:ascii="Times New Roman" w:eastAsia="宋体" w:hAnsi="Times New Roman" w:cs="Times New Roman"/>
                <w:kern w:val="0"/>
                <w:sz w:val="24"/>
                <w:szCs w:val="24"/>
              </w:rPr>
              <w:t>Chitooligosaccharide</w:t>
            </w:r>
            <w:proofErr w:type="spellEnd"/>
            <w:r>
              <w:rPr>
                <w:rFonts w:ascii="Times New Roman" w:eastAsia="宋体" w:hAnsi="Times New Roman" w:cs="Times New Roman"/>
                <w:kern w:val="0"/>
                <w:sz w:val="24"/>
                <w:szCs w:val="24"/>
              </w:rPr>
              <w:t xml:space="preserve"> Inhibits Scar Formation and Enhances Funct</w:t>
            </w:r>
            <w:r>
              <w:rPr>
                <w:rFonts w:ascii="Times New Roman" w:eastAsia="宋体" w:hAnsi="Times New Roman" w:cs="Times New Roman"/>
                <w:kern w:val="0"/>
                <w:sz w:val="24"/>
                <w:szCs w:val="24"/>
              </w:rPr>
              <w:t xml:space="preserve">ional Recovery in a Mouse Model of Sciatic Nerve Injury, </w:t>
            </w:r>
            <w:bookmarkStart w:id="0" w:name="page1"/>
            <w:bookmarkEnd w:id="0"/>
            <w:proofErr w:type="spellStart"/>
            <w:r>
              <w:rPr>
                <w:rFonts w:ascii="Times New Roman" w:eastAsia="宋体" w:hAnsi="Times New Roman" w:cs="Times New Roman"/>
                <w:kern w:val="0"/>
                <w:sz w:val="24"/>
                <w:szCs w:val="24"/>
              </w:rPr>
              <w:t>Mol</w:t>
            </w:r>
            <w:proofErr w:type="spellEnd"/>
            <w:r>
              <w:rPr>
                <w:rFonts w:ascii="Times New Roman" w:eastAsia="宋体" w:hAnsi="Times New Roman" w:cs="Times New Roman"/>
                <w:kern w:val="0"/>
                <w:sz w:val="24"/>
                <w:szCs w:val="24"/>
              </w:rPr>
              <w:t xml:space="preserve"> </w:t>
            </w:r>
            <w:proofErr w:type="spellStart"/>
            <w:proofErr w:type="gramStart"/>
            <w:r>
              <w:rPr>
                <w:rFonts w:ascii="Times New Roman" w:eastAsia="宋体" w:hAnsi="Times New Roman" w:cs="Times New Roman"/>
                <w:kern w:val="0"/>
                <w:sz w:val="24"/>
                <w:szCs w:val="24"/>
              </w:rPr>
              <w:t>Neurobiol</w:t>
            </w:r>
            <w:proofErr w:type="spellEnd"/>
            <w:r>
              <w:rPr>
                <w:rFonts w:ascii="Times New Roman" w:eastAsia="宋体" w:hAnsi="Times New Roman" w:cs="Times New Roman"/>
                <w:kern w:val="0"/>
                <w:sz w:val="24"/>
                <w:szCs w:val="24"/>
              </w:rPr>
              <w:t>(</w:t>
            </w:r>
            <w:proofErr w:type="gramEnd"/>
            <w:r>
              <w:rPr>
                <w:rFonts w:ascii="Times New Roman" w:eastAsia="宋体" w:hAnsi="Times New Roman" w:cs="Times New Roman"/>
                <w:kern w:val="0"/>
                <w:sz w:val="24"/>
                <w:szCs w:val="24"/>
              </w:rPr>
              <w:t xml:space="preserve">2016) 53:2249–2257. </w:t>
            </w:r>
          </w:p>
          <w:p w:rsidR="00FE585D" w:rsidRDefault="00F77C44">
            <w:pPr>
              <w:numPr>
                <w:ilvl w:val="0"/>
                <w:numId w:val="2"/>
              </w:numPr>
              <w:autoSpaceDE w:val="0"/>
              <w:spacing w:line="280" w:lineRule="exac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Zhang G, Li Y, Chen T, Gao Y, Sun J, Yang W, Song L, Su P, Ma M, Zhang Z, Zhang H, Yang Y, Li H, Ye Z*., </w:t>
            </w:r>
            <w:proofErr w:type="spellStart"/>
            <w:r>
              <w:rPr>
                <w:rFonts w:ascii="Times New Roman" w:eastAsia="宋体" w:hAnsi="Times New Roman" w:cs="Times New Roman"/>
                <w:b/>
                <w:bCs/>
                <w:kern w:val="0"/>
                <w:sz w:val="24"/>
                <w:szCs w:val="24"/>
              </w:rPr>
              <w:t>Hou</w:t>
            </w:r>
            <w:proofErr w:type="spellEnd"/>
            <w:r>
              <w:rPr>
                <w:rFonts w:ascii="Times New Roman" w:eastAsia="宋体" w:hAnsi="Times New Roman" w:cs="Times New Roman"/>
                <w:b/>
                <w:bCs/>
                <w:kern w:val="0"/>
                <w:sz w:val="24"/>
                <w:szCs w:val="24"/>
              </w:rPr>
              <w:t xml:space="preserve"> H</w:t>
            </w:r>
            <w:r>
              <w:rPr>
                <w:rFonts w:ascii="Times New Roman" w:eastAsia="宋体" w:hAnsi="Times New Roman" w:cs="Times New Roman"/>
                <w:kern w:val="0"/>
                <w:sz w:val="24"/>
                <w:szCs w:val="24"/>
              </w:rPr>
              <w:t>*. Comparative study of the efficacy and pharmacokinet</w:t>
            </w:r>
            <w:r>
              <w:rPr>
                <w:rFonts w:ascii="Times New Roman" w:eastAsia="宋体" w:hAnsi="Times New Roman" w:cs="Times New Roman"/>
                <w:kern w:val="0"/>
                <w:sz w:val="24"/>
                <w:szCs w:val="24"/>
              </w:rPr>
              <w:t xml:space="preserve">ics of </w:t>
            </w:r>
            <w:proofErr w:type="spellStart"/>
            <w:r>
              <w:rPr>
                <w:rFonts w:ascii="Times New Roman" w:eastAsia="宋体" w:hAnsi="Times New Roman" w:cs="Times New Roman"/>
                <w:kern w:val="0"/>
                <w:sz w:val="24"/>
                <w:szCs w:val="24"/>
              </w:rPr>
              <w:t>reduning</w:t>
            </w:r>
            <w:proofErr w:type="spellEnd"/>
            <w:r>
              <w:rPr>
                <w:rFonts w:ascii="Times New Roman" w:eastAsia="宋体" w:hAnsi="Times New Roman" w:cs="Times New Roman"/>
                <w:kern w:val="0"/>
                <w:sz w:val="24"/>
                <w:szCs w:val="24"/>
              </w:rPr>
              <w:t xml:space="preserve"> injection and atomization inhalation. Biomed </w:t>
            </w:r>
            <w:proofErr w:type="spellStart"/>
            <w:r>
              <w:rPr>
                <w:rFonts w:ascii="Times New Roman" w:eastAsia="宋体" w:hAnsi="Times New Roman" w:cs="Times New Roman"/>
                <w:kern w:val="0"/>
                <w:sz w:val="24"/>
                <w:szCs w:val="24"/>
              </w:rPr>
              <w:t>Pharmacother</w:t>
            </w:r>
            <w:proofErr w:type="spellEnd"/>
            <w:r>
              <w:rPr>
                <w:rFonts w:ascii="Times New Roman" w:eastAsia="宋体" w:hAnsi="Times New Roman" w:cs="Times New Roman"/>
                <w:kern w:val="0"/>
                <w:sz w:val="24"/>
                <w:szCs w:val="24"/>
              </w:rPr>
              <w:t xml:space="preserve">. 2019 </w:t>
            </w:r>
            <w:proofErr w:type="gramStart"/>
            <w:r>
              <w:rPr>
                <w:rFonts w:ascii="Times New Roman" w:eastAsia="宋体" w:hAnsi="Times New Roman" w:cs="Times New Roman"/>
                <w:kern w:val="0"/>
                <w:sz w:val="24"/>
                <w:szCs w:val="24"/>
              </w:rPr>
              <w:t>Oct;118:109226</w:t>
            </w:r>
            <w:proofErr w:type="gramEnd"/>
            <w:r>
              <w:rPr>
                <w:rFonts w:ascii="Times New Roman" w:eastAsia="宋体" w:hAnsi="Times New Roman" w:cs="Times New Roman"/>
                <w:kern w:val="0"/>
                <w:sz w:val="24"/>
                <w:szCs w:val="24"/>
              </w:rPr>
              <w:t>.</w:t>
            </w:r>
          </w:p>
          <w:p w:rsidR="00FE585D" w:rsidRDefault="00F77C44">
            <w:pPr>
              <w:numPr>
                <w:ilvl w:val="0"/>
                <w:numId w:val="2"/>
              </w:numPr>
              <w:autoSpaceDE w:val="0"/>
              <w:spacing w:line="280" w:lineRule="exac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Wang Y</w:t>
            </w:r>
            <w:r>
              <w:rPr>
                <w:rFonts w:ascii="Times New Roman" w:eastAsia="宋体" w:hAnsi="Times New Roman" w:cs="Times New Roman"/>
                <w:kern w:val="0"/>
                <w:sz w:val="24"/>
                <w:szCs w:val="24"/>
                <w:vertAlign w:val="superscript"/>
              </w:rPr>
              <w:t>#</w:t>
            </w:r>
            <w:r>
              <w:rPr>
                <w:rFonts w:ascii="Times New Roman" w:eastAsia="宋体" w:hAnsi="Times New Roman" w:cs="Times New Roman"/>
                <w:kern w:val="0"/>
                <w:sz w:val="24"/>
                <w:szCs w:val="24"/>
              </w:rPr>
              <w:t xml:space="preserve">, </w:t>
            </w:r>
            <w:proofErr w:type="spellStart"/>
            <w:r>
              <w:rPr>
                <w:rFonts w:ascii="Times New Roman" w:eastAsia="宋体" w:hAnsi="Times New Roman" w:cs="Times New Roman" w:hint="eastAsia"/>
                <w:b/>
                <w:bCs/>
                <w:kern w:val="0"/>
                <w:sz w:val="24"/>
                <w:szCs w:val="24"/>
              </w:rPr>
              <w:t>Hou</w:t>
            </w:r>
            <w:proofErr w:type="spellEnd"/>
            <w:r>
              <w:rPr>
                <w:rFonts w:ascii="Times New Roman" w:eastAsia="宋体" w:hAnsi="Times New Roman" w:cs="Times New Roman" w:hint="eastAsia"/>
                <w:b/>
                <w:bCs/>
                <w:kern w:val="0"/>
                <w:sz w:val="24"/>
                <w:szCs w:val="24"/>
              </w:rPr>
              <w:t xml:space="preserve"> H</w:t>
            </w:r>
            <w:r>
              <w:rPr>
                <w:rFonts w:ascii="Times New Roman" w:eastAsia="宋体" w:hAnsi="Times New Roman" w:cs="Times New Roman"/>
                <w:kern w:val="0"/>
                <w:sz w:val="24"/>
                <w:szCs w:val="24"/>
                <w:vertAlign w:val="superscript"/>
              </w:rPr>
              <w:t>#</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Ren Q</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Hu H</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Yang T</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Li X</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 xml:space="preserve">Natural drug sources for respiratory diseases from </w:t>
            </w:r>
            <w:proofErr w:type="spellStart"/>
            <w:r>
              <w:rPr>
                <w:rFonts w:ascii="Times New Roman" w:eastAsia="宋体" w:hAnsi="Times New Roman" w:cs="Times New Roman"/>
                <w:kern w:val="0"/>
                <w:sz w:val="24"/>
                <w:szCs w:val="24"/>
              </w:rPr>
              <w:t>Fritillaria</w:t>
            </w:r>
            <w:proofErr w:type="spellEnd"/>
            <w:r>
              <w:rPr>
                <w:rFonts w:ascii="Times New Roman" w:eastAsia="宋体" w:hAnsi="Times New Roman" w:cs="Times New Roman"/>
                <w:kern w:val="0"/>
                <w:sz w:val="24"/>
                <w:szCs w:val="24"/>
              </w:rPr>
              <w:t xml:space="preserve">: chemical and biological </w:t>
            </w:r>
            <w:proofErr w:type="spellStart"/>
            <w:proofErr w:type="gramStart"/>
            <w:r>
              <w:rPr>
                <w:rFonts w:ascii="Times New Roman" w:eastAsia="宋体" w:hAnsi="Times New Roman" w:cs="Times New Roman"/>
                <w:kern w:val="0"/>
                <w:sz w:val="24"/>
                <w:szCs w:val="24"/>
              </w:rPr>
              <w:t>analyses.Chin</w:t>
            </w:r>
            <w:proofErr w:type="spellEnd"/>
            <w:proofErr w:type="gramEnd"/>
            <w:r>
              <w:rPr>
                <w:rFonts w:ascii="Times New Roman" w:eastAsia="宋体" w:hAnsi="Times New Roman" w:cs="Times New Roman"/>
                <w:kern w:val="0"/>
                <w:sz w:val="24"/>
                <w:szCs w:val="24"/>
              </w:rPr>
              <w:t xml:space="preserve"> Med. 2021 May</w:t>
            </w:r>
            <w:r>
              <w:rPr>
                <w:rFonts w:ascii="Times New Roman" w:eastAsia="宋体" w:hAnsi="Times New Roman" w:cs="Times New Roman"/>
                <w:kern w:val="0"/>
                <w:sz w:val="24"/>
                <w:szCs w:val="24"/>
              </w:rPr>
              <w:t xml:space="preserve"> 31;16(1):40. Review.</w:t>
            </w:r>
          </w:p>
          <w:p w:rsidR="00FE585D" w:rsidRDefault="00F77C44">
            <w:pPr>
              <w:numPr>
                <w:ilvl w:val="0"/>
                <w:numId w:val="2"/>
              </w:numPr>
              <w:autoSpaceDE w:val="0"/>
              <w:spacing w:line="280" w:lineRule="exact"/>
              <w:rPr>
                <w:rFonts w:ascii="Times New Roman" w:eastAsia="宋体" w:hAnsi="Times New Roman" w:cs="Times New Roman"/>
                <w:kern w:val="0"/>
                <w:sz w:val="24"/>
                <w:szCs w:val="24"/>
              </w:rPr>
            </w:pPr>
            <w:r>
              <w:rPr>
                <w:rFonts w:ascii="Times New Roman" w:eastAsia="宋体" w:hAnsi="Times New Roman" w:cs="Times New Roman"/>
                <w:kern w:val="0"/>
                <w:sz w:val="24"/>
                <w:szCs w:val="24"/>
              </w:rPr>
              <w:t>Tang P</w:t>
            </w:r>
            <w:r>
              <w:rPr>
                <w:rFonts w:ascii="Times New Roman" w:eastAsia="宋体" w:hAnsi="Times New Roman" w:cs="Times New Roman"/>
                <w:kern w:val="0"/>
                <w:sz w:val="24"/>
                <w:szCs w:val="24"/>
                <w:vertAlign w:val="superscript"/>
              </w:rPr>
              <w:t>#</w:t>
            </w:r>
            <w:r>
              <w:rPr>
                <w:rFonts w:ascii="Times New Roman" w:eastAsia="宋体" w:hAnsi="Times New Roman" w:cs="Times New Roman"/>
                <w:kern w:val="0"/>
                <w:sz w:val="24"/>
                <w:szCs w:val="24"/>
              </w:rPr>
              <w:t xml:space="preserve">, </w:t>
            </w:r>
            <w:proofErr w:type="spellStart"/>
            <w:r>
              <w:rPr>
                <w:rFonts w:ascii="Times New Roman" w:eastAsia="宋体" w:hAnsi="Times New Roman" w:cs="Times New Roman"/>
                <w:b/>
                <w:bCs/>
                <w:kern w:val="0"/>
                <w:sz w:val="24"/>
                <w:szCs w:val="24"/>
              </w:rPr>
              <w:t>Hou</w:t>
            </w:r>
            <w:proofErr w:type="spellEnd"/>
            <w:r>
              <w:rPr>
                <w:rFonts w:ascii="Times New Roman" w:eastAsia="宋体" w:hAnsi="Times New Roman" w:cs="Times New Roman"/>
                <w:b/>
                <w:bCs/>
                <w:kern w:val="0"/>
                <w:sz w:val="24"/>
                <w:szCs w:val="24"/>
              </w:rPr>
              <w:t xml:space="preserve"> H</w:t>
            </w:r>
            <w:r>
              <w:rPr>
                <w:rFonts w:ascii="Times New Roman" w:eastAsia="宋体" w:hAnsi="Times New Roman" w:cs="Times New Roman"/>
                <w:kern w:val="0"/>
                <w:sz w:val="24"/>
                <w:szCs w:val="24"/>
                <w:vertAlign w:val="superscript"/>
              </w:rPr>
              <w:t>#</w:t>
            </w:r>
            <w:r>
              <w:rPr>
                <w:rFonts w:ascii="Times New Roman" w:eastAsia="宋体" w:hAnsi="Times New Roman" w:cs="Times New Roman"/>
                <w:kern w:val="0"/>
                <w:sz w:val="24"/>
                <w:szCs w:val="24"/>
              </w:rPr>
              <w:t xml:space="preserve">, Zhang L, Lan X, Mao Z, Liu D, He C, Du H, Zhang L. Autophagy reduces neuronal damage and promotes locomotor recovery via inhibition of apoptosis after spinal cord injury in rats[J]. </w:t>
            </w:r>
            <w:proofErr w:type="spellStart"/>
            <w:r>
              <w:rPr>
                <w:rFonts w:ascii="Times New Roman" w:eastAsia="宋体" w:hAnsi="Times New Roman" w:cs="Times New Roman"/>
                <w:kern w:val="0"/>
                <w:sz w:val="24"/>
                <w:szCs w:val="24"/>
              </w:rPr>
              <w:t>Mol</w:t>
            </w:r>
            <w:proofErr w:type="spellEnd"/>
            <w:r>
              <w:rPr>
                <w:rFonts w:ascii="Times New Roman" w:eastAsia="宋体" w:hAnsi="Times New Roman" w:cs="Times New Roman"/>
                <w:kern w:val="0"/>
                <w:sz w:val="24"/>
                <w:szCs w:val="24"/>
              </w:rPr>
              <w:t xml:space="preserve"> </w:t>
            </w:r>
            <w:proofErr w:type="spellStart"/>
            <w:r>
              <w:rPr>
                <w:rFonts w:ascii="Times New Roman" w:eastAsia="宋体" w:hAnsi="Times New Roman" w:cs="Times New Roman"/>
                <w:kern w:val="0"/>
                <w:sz w:val="24"/>
                <w:szCs w:val="24"/>
              </w:rPr>
              <w:t>Neurobiol</w:t>
            </w:r>
            <w:proofErr w:type="spellEnd"/>
            <w:r>
              <w:rPr>
                <w:rFonts w:ascii="Times New Roman" w:eastAsia="宋体" w:hAnsi="Times New Roman" w:cs="Times New Roman"/>
                <w:kern w:val="0"/>
                <w:sz w:val="24"/>
                <w:szCs w:val="24"/>
              </w:rPr>
              <w:t>, 2014; 49(1):276-87.</w:t>
            </w:r>
          </w:p>
          <w:p w:rsidR="00FE585D" w:rsidRDefault="00F77C44">
            <w:pPr>
              <w:numPr>
                <w:ilvl w:val="0"/>
                <w:numId w:val="2"/>
              </w:numPr>
              <w:autoSpaceDE w:val="0"/>
              <w:spacing w:line="280" w:lineRule="exact"/>
              <w:rPr>
                <w:rFonts w:ascii="宋体" w:eastAsia="华文仿宋" w:hAnsi="宋体" w:cs="宋体"/>
                <w:sz w:val="24"/>
                <w:szCs w:val="24"/>
              </w:rPr>
            </w:pPr>
            <w:proofErr w:type="spellStart"/>
            <w:r>
              <w:rPr>
                <w:rFonts w:ascii="Times New Roman" w:eastAsia="宋体" w:hAnsi="Times New Roman" w:cs="Times New Roman"/>
                <w:b/>
                <w:bCs/>
                <w:kern w:val="0"/>
                <w:sz w:val="24"/>
                <w:szCs w:val="24"/>
              </w:rPr>
              <w:t>Hou</w:t>
            </w:r>
            <w:proofErr w:type="spellEnd"/>
            <w:r>
              <w:rPr>
                <w:rFonts w:ascii="Times New Roman" w:eastAsia="宋体" w:hAnsi="Times New Roman" w:cs="Times New Roman"/>
                <w:b/>
                <w:bCs/>
                <w:kern w:val="0"/>
                <w:sz w:val="24"/>
                <w:szCs w:val="24"/>
              </w:rPr>
              <w:t xml:space="preserve"> H</w:t>
            </w:r>
            <w:r>
              <w:rPr>
                <w:rFonts w:ascii="Times New Roman" w:eastAsia="宋体" w:hAnsi="Times New Roman" w:cs="Times New Roman"/>
                <w:kern w:val="0"/>
                <w:sz w:val="24"/>
                <w:szCs w:val="24"/>
              </w:rPr>
              <w:t xml:space="preserve">, Zhang L, Zhang L, Tang P*. Acute spinal cord injury in rats should target activated autophagy[J]. J </w:t>
            </w:r>
            <w:proofErr w:type="spellStart"/>
            <w:r>
              <w:rPr>
                <w:rFonts w:ascii="Times New Roman" w:eastAsia="宋体" w:hAnsi="Times New Roman" w:cs="Times New Roman"/>
                <w:kern w:val="0"/>
                <w:sz w:val="24"/>
                <w:szCs w:val="24"/>
              </w:rPr>
              <w:t>Neurosurg</w:t>
            </w:r>
            <w:proofErr w:type="spellEnd"/>
            <w:r>
              <w:rPr>
                <w:rFonts w:ascii="Times New Roman" w:eastAsia="宋体" w:hAnsi="Times New Roman" w:cs="Times New Roman"/>
                <w:kern w:val="0"/>
                <w:sz w:val="24"/>
                <w:szCs w:val="24"/>
              </w:rPr>
              <w:t xml:space="preserve"> Spine,2014;20(5):568-77. </w:t>
            </w:r>
          </w:p>
        </w:tc>
      </w:tr>
    </w:tbl>
    <w:p w:rsidR="00FE585D" w:rsidRDefault="00FE585D">
      <w:pPr>
        <w:spacing w:line="14" w:lineRule="exact"/>
        <w:rPr>
          <w:rFonts w:asciiTheme="majorEastAsia" w:eastAsiaTheme="majorEastAsia" w:hAnsiTheme="majorEastAsia"/>
          <w:color w:val="000000" w:themeColor="text1"/>
          <w:sz w:val="24"/>
          <w:szCs w:val="28"/>
        </w:rPr>
      </w:pPr>
    </w:p>
    <w:p w:rsidR="00FE585D" w:rsidRDefault="00FE585D">
      <w:pPr>
        <w:spacing w:line="240" w:lineRule="exact"/>
        <w:rPr>
          <w:rFonts w:asciiTheme="majorEastAsia" w:eastAsiaTheme="majorEastAsia" w:hAnsiTheme="majorEastAsia"/>
          <w:sz w:val="24"/>
          <w:szCs w:val="28"/>
        </w:rPr>
      </w:pPr>
      <w:bookmarkStart w:id="1" w:name="_GoBack"/>
      <w:bookmarkEnd w:id="1"/>
    </w:p>
    <w:sectPr w:rsidR="00FE58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C55C0"/>
    <w:multiLevelType w:val="multilevel"/>
    <w:tmpl w:val="3E2C55C0"/>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5A3E0349"/>
    <w:multiLevelType w:val="singleLevel"/>
    <w:tmpl w:val="5A3E0349"/>
    <w:lvl w:ilvl="0">
      <w:start w:val="1"/>
      <w:numFmt w:val="decimal"/>
      <w:suff w:val="nothing"/>
      <w:lvlText w:val="（%1）"/>
      <w:lvlJc w:val="left"/>
      <w:pPr>
        <w:ind w:left="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75"/>
    <w:rsid w:val="00095DAF"/>
    <w:rsid w:val="000A1656"/>
    <w:rsid w:val="000A6FFD"/>
    <w:rsid w:val="000E2016"/>
    <w:rsid w:val="0010117B"/>
    <w:rsid w:val="00120500"/>
    <w:rsid w:val="00130ED9"/>
    <w:rsid w:val="001568B7"/>
    <w:rsid w:val="0018496D"/>
    <w:rsid w:val="001C220B"/>
    <w:rsid w:val="001F2CEA"/>
    <w:rsid w:val="00211E75"/>
    <w:rsid w:val="0025782C"/>
    <w:rsid w:val="002D1021"/>
    <w:rsid w:val="002D7EB5"/>
    <w:rsid w:val="00330599"/>
    <w:rsid w:val="003B0499"/>
    <w:rsid w:val="003D30B0"/>
    <w:rsid w:val="0044647D"/>
    <w:rsid w:val="00452FA4"/>
    <w:rsid w:val="00494847"/>
    <w:rsid w:val="004A04E0"/>
    <w:rsid w:val="004B520C"/>
    <w:rsid w:val="005007F2"/>
    <w:rsid w:val="00524644"/>
    <w:rsid w:val="00531A00"/>
    <w:rsid w:val="0054104C"/>
    <w:rsid w:val="00576CBC"/>
    <w:rsid w:val="00580B6A"/>
    <w:rsid w:val="005915FE"/>
    <w:rsid w:val="005A036A"/>
    <w:rsid w:val="005B2037"/>
    <w:rsid w:val="00604A9B"/>
    <w:rsid w:val="006050D3"/>
    <w:rsid w:val="00606610"/>
    <w:rsid w:val="006265B2"/>
    <w:rsid w:val="006269CF"/>
    <w:rsid w:val="00640848"/>
    <w:rsid w:val="00644D39"/>
    <w:rsid w:val="00656092"/>
    <w:rsid w:val="006579BF"/>
    <w:rsid w:val="006D0FB5"/>
    <w:rsid w:val="006E0DE4"/>
    <w:rsid w:val="00735F50"/>
    <w:rsid w:val="00772837"/>
    <w:rsid w:val="00786CC8"/>
    <w:rsid w:val="008272F6"/>
    <w:rsid w:val="008D2385"/>
    <w:rsid w:val="00956636"/>
    <w:rsid w:val="009F7E55"/>
    <w:rsid w:val="00A21018"/>
    <w:rsid w:val="00A30C2D"/>
    <w:rsid w:val="00AB1D4A"/>
    <w:rsid w:val="00AC55C0"/>
    <w:rsid w:val="00AD3F95"/>
    <w:rsid w:val="00AF3D4D"/>
    <w:rsid w:val="00AF7005"/>
    <w:rsid w:val="00B2519D"/>
    <w:rsid w:val="00B35596"/>
    <w:rsid w:val="00B878F3"/>
    <w:rsid w:val="00B94B81"/>
    <w:rsid w:val="00BC2CF4"/>
    <w:rsid w:val="00BC3A7A"/>
    <w:rsid w:val="00BE3697"/>
    <w:rsid w:val="00C83228"/>
    <w:rsid w:val="00C92BC7"/>
    <w:rsid w:val="00CA3C87"/>
    <w:rsid w:val="00D1295E"/>
    <w:rsid w:val="00D677C8"/>
    <w:rsid w:val="00D75D29"/>
    <w:rsid w:val="00D92ADD"/>
    <w:rsid w:val="00DA7B0D"/>
    <w:rsid w:val="00DB2FF9"/>
    <w:rsid w:val="00DC687E"/>
    <w:rsid w:val="00DE7D18"/>
    <w:rsid w:val="00DF5D94"/>
    <w:rsid w:val="00E06915"/>
    <w:rsid w:val="00E24635"/>
    <w:rsid w:val="00E25576"/>
    <w:rsid w:val="00E9450A"/>
    <w:rsid w:val="00ED54BD"/>
    <w:rsid w:val="00EE5B21"/>
    <w:rsid w:val="00F13DE3"/>
    <w:rsid w:val="00F77C44"/>
    <w:rsid w:val="00FA365D"/>
    <w:rsid w:val="00FB465F"/>
    <w:rsid w:val="00FB57A1"/>
    <w:rsid w:val="00FD2206"/>
    <w:rsid w:val="00FE585D"/>
    <w:rsid w:val="08885383"/>
    <w:rsid w:val="0F780835"/>
    <w:rsid w:val="23A1724E"/>
    <w:rsid w:val="37323986"/>
    <w:rsid w:val="39A45834"/>
    <w:rsid w:val="3C7F4D2D"/>
    <w:rsid w:val="42511D1E"/>
    <w:rsid w:val="59185C88"/>
    <w:rsid w:val="606B5F03"/>
    <w:rsid w:val="704D4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3ECB"/>
  <w15:docId w15:val="{724D2BEB-717E-4DD5-8F9C-4E6FE8C1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lbh</cp:lastModifiedBy>
  <cp:revision>17</cp:revision>
  <cp:lastPrinted>2018-10-24T12:59:00Z</cp:lastPrinted>
  <dcterms:created xsi:type="dcterms:W3CDTF">2018-06-08T07:06:00Z</dcterms:created>
  <dcterms:modified xsi:type="dcterms:W3CDTF">2021-08-31T03:09:00Z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9C0573A1B66247E69D8A2A135763C724</vt:lpwstr>
  </property>
</Properties>
</file>